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4"/>
        <w:rPr>
          <w:rFonts w:ascii="Times New Roman"/>
          <w:sz w:val="20"/>
        </w:rPr>
      </w:pPr>
      <w:r>
        <w:rPr>
          <w:rFonts w:ascii="Times New Roman"/>
          <w:sz w:val="20"/>
        </w:rPr>
        <w:drawing>
          <wp:inline distT="0" distB="0" distL="0" distR="0">
            <wp:extent cx="6286860" cy="440054"/>
            <wp:effectExtent l="0" t="0" r="0" b="0"/>
            <wp:docPr id="1" name="image1.jpeg" descr="Logo de l’Ontario Description de l’image : Ministère des Services aux aînés et de l’Accessibilité"/>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6286860" cy="440054"/>
                    </a:xfrm>
                    <a:prstGeom prst="rect">
                      <a:avLst/>
                    </a:prstGeom>
                  </pic:spPr>
                </pic:pic>
              </a:graphicData>
            </a:graphic>
          </wp:inline>
        </w:drawing>
      </w:r>
      <w:r>
        <w:rPr>
          <w:rFonts w:ascii="Times New Roman"/>
          <w:sz w:val="20"/>
        </w:rPr>
      </w:r>
    </w:p>
    <w:p>
      <w:pPr>
        <w:pStyle w:val="Heading1"/>
        <w:spacing w:line="256" w:lineRule="auto" w:before="56"/>
        <w:ind w:right="579"/>
      </w:pPr>
      <w:r>
        <w:rPr/>
        <w:t>Personnes de soutien dans les hôpitaux de l’Ontario : orientation pratique à l’intention des hôpitaux</w:t>
      </w:r>
    </w:p>
    <w:p>
      <w:pPr>
        <w:spacing w:before="159"/>
        <w:ind w:left="115" w:right="0" w:firstLine="0"/>
        <w:jc w:val="left"/>
        <w:rPr>
          <w:b/>
          <w:sz w:val="22"/>
        </w:rPr>
      </w:pPr>
      <w:r>
        <w:rPr>
          <w:b/>
          <w:sz w:val="22"/>
        </w:rPr>
        <w:t>Accessibilité dans le système de santé</w:t>
      </w:r>
    </w:p>
    <w:p>
      <w:pPr>
        <w:pStyle w:val="BodyText"/>
        <w:spacing w:line="256" w:lineRule="auto" w:before="177"/>
        <w:ind w:right="185"/>
      </w:pPr>
      <w:r>
        <w:rPr/>
        <w:t>Le système des soins de santé de l’Ontario dessert une grande diversité de patients, y compris plusieurs personnes handicapées qui ont besoin de mesures d’adaptation en vue d’accéder à des soins. Un des aspects importants de la prestation de services de santé accessibles et axés sur la personne consiste à veiller à ce que les patients accompagnés d’une personne de soutien puissent participer de façon significative à leurs propres soins.</w:t>
      </w:r>
    </w:p>
    <w:p>
      <w:pPr>
        <w:pStyle w:val="BodyText"/>
        <w:spacing w:line="256" w:lineRule="auto" w:before="157"/>
        <w:ind w:right="185"/>
      </w:pPr>
      <w:r>
        <w:rPr/>
        <w:t>Les patients accompagnés d’une personne de soutien sont souvent confrontés à des obstacles à l’accessibilité tout au long de leur parcours en soins de santé. À la suite de consultations et de recherches, un Comité d’élaboration des normes pour les soins de santé indépendant – mis sur pied par le gouvernement de l’Ontario en vue d’élaborer de propositions de </w:t>
      </w:r>
      <w:hyperlink r:id="rId7">
        <w:r>
          <w:rPr>
            <w:color w:val="467885"/>
            <w:spacing w:val="-123"/>
            <w:u w:val="single" w:color="467885"/>
          </w:rPr>
          <w:t>n</w:t>
        </w:r>
        <w:r>
          <w:rPr>
            <w:color w:val="467885"/>
            <w:spacing w:val="60"/>
          </w:rPr>
          <w:t> </w:t>
        </w:r>
        <w:r>
          <w:rPr>
            <w:color w:val="467885"/>
            <w:u w:val="single" w:color="467885"/>
          </w:rPr>
          <w:t>ormes d’accessibilité pour les</w:t>
        </w:r>
      </w:hyperlink>
    </w:p>
    <w:p>
      <w:pPr>
        <w:pStyle w:val="BodyText"/>
        <w:spacing w:line="256" w:lineRule="auto"/>
      </w:pPr>
      <w:hyperlink r:id="rId7">
        <w:r>
          <w:rPr>
            <w:rFonts w:ascii="Times New Roman" w:hAnsi="Times New Roman"/>
            <w:color w:val="467885"/>
            <w:spacing w:val="-55"/>
            <w:u w:val="single" w:color="467885"/>
          </w:rPr>
          <w:t> </w:t>
        </w:r>
        <w:r>
          <w:rPr>
            <w:color w:val="467885"/>
            <w:u w:val="single" w:color="467885"/>
          </w:rPr>
          <w:t>soins de santé </w:t>
        </w:r>
      </w:hyperlink>
      <w:r>
        <w:rPr/>
        <w:t>– a constaté que ces patients font couramment face à des lacunes en matière d’accessibilité durant leurs interactions de routine, comme l’admission, la planification du traitement et l’obtention de congés.</w:t>
      </w:r>
    </w:p>
    <w:p>
      <w:pPr>
        <w:pStyle w:val="BodyText"/>
        <w:spacing w:line="256" w:lineRule="auto" w:before="156"/>
        <w:ind w:right="185"/>
      </w:pPr>
      <w:r>
        <w:rPr/>
        <w:t>Dans le cadre de son travail avec le secteur hospitalier en vue d’améliorer l’accessibilité dans les établissements de soins de santé, le</w:t>
      </w:r>
      <w:hyperlink r:id="rId8">
        <w:r>
          <w:rPr>
            <w:color w:val="467885"/>
            <w:u w:val="single" w:color="467885"/>
          </w:rPr>
          <w:t> ministère des Services aux aînés et de l’Accessibilité</w:t>
        </w:r>
        <w:r>
          <w:rPr>
            <w:color w:val="467885"/>
          </w:rPr>
          <w:t> </w:t>
        </w:r>
      </w:hyperlink>
      <w:r>
        <w:rPr/>
        <w:t>a élaboré cette orientation pour fournir des renseignements aux dirigeants, aux fournisseurs de soins de santé et au personnel sur les façons de mieux intégrer les personnes de soutien alors qu’elles offrent des soins.</w:t>
      </w:r>
    </w:p>
    <w:p>
      <w:pPr>
        <w:pStyle w:val="BodyText"/>
        <w:ind w:left="0"/>
        <w:rPr>
          <w:sz w:val="24"/>
        </w:rPr>
      </w:pPr>
    </w:p>
    <w:p>
      <w:pPr>
        <w:pStyle w:val="BodyText"/>
        <w:spacing w:before="1"/>
        <w:ind w:left="0"/>
        <w:rPr>
          <w:sz w:val="27"/>
        </w:rPr>
      </w:pPr>
    </w:p>
    <w:p>
      <w:pPr>
        <w:spacing w:line="256" w:lineRule="auto" w:before="0"/>
        <w:ind w:left="115" w:right="579" w:firstLine="0"/>
        <w:jc w:val="left"/>
        <w:rPr>
          <w:b/>
          <w:i/>
          <w:sz w:val="22"/>
        </w:rPr>
      </w:pPr>
      <w:r>
        <w:rPr>
          <w:b/>
          <w:sz w:val="22"/>
        </w:rPr>
        <w:t>Personnes de soutien en vertu de la </w:t>
      </w:r>
      <w:r>
        <w:rPr>
          <w:b/>
          <w:i/>
          <w:sz w:val="22"/>
        </w:rPr>
        <w:t>Loi de 2005 sur l’accessibilité pour les personnes </w:t>
      </w:r>
      <w:r>
        <w:rPr>
          <w:b/>
          <w:i/>
          <w:sz w:val="22"/>
        </w:rPr>
        <w:t>handicapées de l’Ontario</w:t>
      </w:r>
    </w:p>
    <w:p>
      <w:pPr>
        <w:pStyle w:val="Heading1"/>
        <w:spacing w:line="256" w:lineRule="auto" w:before="158"/>
        <w:rPr>
          <w:b w:val="0"/>
        </w:rPr>
      </w:pPr>
      <w:r>
        <w:rPr>
          <w:b w:val="0"/>
        </w:rPr>
        <w:t>Les hôpitaux et les autres organisations </w:t>
      </w:r>
      <w:r>
        <w:rPr/>
        <w:t>doivent permettre à la personne handicapée d’être accompagnée par sa personne de soutien au moment d’entrer sur les lieux et d’avoir accès à cette personne de soutien tout au long de la prestation de ses soins</w:t>
      </w:r>
      <w:r>
        <w:rPr>
          <w:b w:val="0"/>
        </w:rPr>
        <w:t>.</w:t>
      </w:r>
    </w:p>
    <w:p>
      <w:pPr>
        <w:pStyle w:val="BodyText"/>
        <w:spacing w:line="256" w:lineRule="auto" w:before="159"/>
        <w:ind w:right="440"/>
      </w:pPr>
      <w:r>
        <w:rPr/>
        <w:t>En vertu de la</w:t>
      </w:r>
      <w:hyperlink r:id="rId9">
        <w:r>
          <w:rPr>
            <w:color w:val="467885"/>
            <w:u w:val="single" w:color="467885"/>
          </w:rPr>
          <w:t> Loi sur l’accessibilité pour les personnes handicapées de l’Ontario</w:t>
        </w:r>
        <w:r>
          <w:rPr/>
          <w:t>, </w:t>
        </w:r>
      </w:hyperlink>
      <w:r>
        <w:rPr/>
        <w:t>une personne de soutien est une personne qui accompagne une personne handicapée pour l’aider sur les plans suivants :</w:t>
      </w:r>
    </w:p>
    <w:p>
      <w:pPr>
        <w:pStyle w:val="ListParagraph"/>
        <w:numPr>
          <w:ilvl w:val="0"/>
          <w:numId w:val="1"/>
        </w:numPr>
        <w:tabs>
          <w:tab w:pos="835" w:val="left" w:leader="none"/>
          <w:tab w:pos="836" w:val="left" w:leader="none"/>
        </w:tabs>
        <w:spacing w:line="240" w:lineRule="auto" w:before="158" w:after="0"/>
        <w:ind w:left="836" w:right="0" w:hanging="361"/>
        <w:jc w:val="left"/>
        <w:rPr>
          <w:sz w:val="22"/>
        </w:rPr>
      </w:pPr>
      <w:r>
        <w:rPr>
          <w:sz w:val="22"/>
        </w:rPr>
        <w:t>la</w:t>
      </w:r>
      <w:r>
        <w:rPr>
          <w:spacing w:val="-5"/>
          <w:sz w:val="22"/>
        </w:rPr>
        <w:t> </w:t>
      </w:r>
      <w:r>
        <w:rPr>
          <w:sz w:val="22"/>
        </w:rPr>
        <w:t>communication;</w:t>
      </w:r>
    </w:p>
    <w:p>
      <w:pPr>
        <w:pStyle w:val="ListParagraph"/>
        <w:numPr>
          <w:ilvl w:val="0"/>
          <w:numId w:val="1"/>
        </w:numPr>
        <w:tabs>
          <w:tab w:pos="835" w:val="left" w:leader="none"/>
          <w:tab w:pos="836" w:val="left" w:leader="none"/>
        </w:tabs>
        <w:spacing w:line="240" w:lineRule="auto" w:before="11" w:after="0"/>
        <w:ind w:left="836" w:right="0" w:hanging="361"/>
        <w:jc w:val="left"/>
        <w:rPr>
          <w:sz w:val="22"/>
        </w:rPr>
      </w:pPr>
      <w:r>
        <w:rPr>
          <w:sz w:val="22"/>
        </w:rPr>
        <w:t>la</w:t>
      </w:r>
      <w:r>
        <w:rPr>
          <w:spacing w:val="-5"/>
          <w:sz w:val="22"/>
        </w:rPr>
        <w:t> </w:t>
      </w:r>
      <w:r>
        <w:rPr>
          <w:sz w:val="22"/>
        </w:rPr>
        <w:t>mobilité;</w:t>
      </w:r>
    </w:p>
    <w:p>
      <w:pPr>
        <w:pStyle w:val="ListParagraph"/>
        <w:numPr>
          <w:ilvl w:val="0"/>
          <w:numId w:val="1"/>
        </w:numPr>
        <w:tabs>
          <w:tab w:pos="835" w:val="left" w:leader="none"/>
          <w:tab w:pos="836" w:val="left" w:leader="none"/>
        </w:tabs>
        <w:spacing w:line="240" w:lineRule="auto" w:before="15" w:after="0"/>
        <w:ind w:left="836" w:right="0" w:hanging="361"/>
        <w:jc w:val="left"/>
        <w:rPr>
          <w:sz w:val="22"/>
        </w:rPr>
      </w:pPr>
      <w:r>
        <w:rPr>
          <w:sz w:val="22"/>
        </w:rPr>
        <w:t>les soins personnels;</w:t>
      </w:r>
    </w:p>
    <w:p>
      <w:pPr>
        <w:pStyle w:val="ListParagraph"/>
        <w:numPr>
          <w:ilvl w:val="0"/>
          <w:numId w:val="1"/>
        </w:numPr>
        <w:tabs>
          <w:tab w:pos="835" w:val="left" w:leader="none"/>
          <w:tab w:pos="836" w:val="left" w:leader="none"/>
        </w:tabs>
        <w:spacing w:line="240" w:lineRule="auto" w:before="16" w:after="0"/>
        <w:ind w:left="836" w:right="0" w:hanging="361"/>
        <w:jc w:val="left"/>
        <w:rPr>
          <w:sz w:val="22"/>
        </w:rPr>
      </w:pPr>
      <w:r>
        <w:rPr>
          <w:sz w:val="22"/>
        </w:rPr>
        <w:t>les besoins</w:t>
      </w:r>
      <w:r>
        <w:rPr>
          <w:spacing w:val="-5"/>
          <w:sz w:val="22"/>
        </w:rPr>
        <w:t> </w:t>
      </w:r>
      <w:r>
        <w:rPr>
          <w:sz w:val="22"/>
        </w:rPr>
        <w:t>médicaux;</w:t>
      </w:r>
    </w:p>
    <w:p>
      <w:pPr>
        <w:pStyle w:val="ListParagraph"/>
        <w:numPr>
          <w:ilvl w:val="0"/>
          <w:numId w:val="1"/>
        </w:numPr>
        <w:tabs>
          <w:tab w:pos="835" w:val="left" w:leader="none"/>
          <w:tab w:pos="836" w:val="left" w:leader="none"/>
        </w:tabs>
        <w:spacing w:line="240" w:lineRule="auto" w:before="15" w:after="0"/>
        <w:ind w:left="836" w:right="0" w:hanging="361"/>
        <w:jc w:val="left"/>
        <w:rPr>
          <w:sz w:val="22"/>
        </w:rPr>
      </w:pPr>
      <w:r>
        <w:rPr>
          <w:sz w:val="22"/>
        </w:rPr>
        <w:t>l’accès à des biens, à des services ou à des</w:t>
      </w:r>
      <w:r>
        <w:rPr>
          <w:spacing w:val="-8"/>
          <w:sz w:val="22"/>
        </w:rPr>
        <w:t> </w:t>
      </w:r>
      <w:r>
        <w:rPr>
          <w:sz w:val="22"/>
        </w:rPr>
        <w:t>installations.</w:t>
      </w:r>
    </w:p>
    <w:p>
      <w:pPr>
        <w:pStyle w:val="BodyText"/>
        <w:spacing w:line="256" w:lineRule="auto" w:before="96"/>
        <w:ind w:right="147"/>
      </w:pPr>
      <w:r>
        <w:rPr/>
        <w:t>Les personnes de soutien ne sont pas des visiteurs; elles sont essentielles à la prestation de soins de santé. Leur présence peut être déterminante pour la sécurité des patients, pour le consentement éclairé et pour la qualité globale des soins.</w:t>
      </w:r>
    </w:p>
    <w:p>
      <w:pPr>
        <w:spacing w:after="0" w:line="256" w:lineRule="auto"/>
        <w:sectPr>
          <w:footerReference w:type="default" r:id="rId5"/>
          <w:type w:val="continuous"/>
          <w:pgSz w:w="12240" w:h="15840"/>
          <w:pgMar w:footer="1261" w:top="1140" w:bottom="1460" w:left="1020" w:right="1020"/>
          <w:pgNumType w:start="1"/>
        </w:sectPr>
      </w:pPr>
    </w:p>
    <w:p>
      <w:pPr>
        <w:pStyle w:val="Heading1"/>
        <w:spacing w:before="69"/>
      </w:pPr>
      <w:r>
        <w:rPr/>
        <w:t>Parcours du patient : comprendre les défis</w:t>
      </w:r>
    </w:p>
    <w:p>
      <w:pPr>
        <w:pStyle w:val="BodyText"/>
        <w:spacing w:line="256" w:lineRule="auto" w:before="177"/>
        <w:ind w:right="185"/>
      </w:pPr>
      <w:r>
        <w:rPr/>
        <w:t>Bien que les hôpitaux s’engagent à garantir l’accessibilité, le Comité d’élaboration des normes pour les soins de santé a déterminé que les personnes handicapées qui sont accompagnées d’une personne de soutien peuvent encore être confrontées à des obstacles à différents moments de leurs parcours en soins de santé. Ces obstacles peuvent survenir lorsque l’on interdit la présence d’une personne de soutien ou en l’absence de celle-ci :</w:t>
      </w:r>
    </w:p>
    <w:p>
      <w:pPr>
        <w:pStyle w:val="ListParagraph"/>
        <w:numPr>
          <w:ilvl w:val="0"/>
          <w:numId w:val="1"/>
        </w:numPr>
        <w:tabs>
          <w:tab w:pos="835" w:val="left" w:leader="none"/>
          <w:tab w:pos="836" w:val="left" w:leader="none"/>
        </w:tabs>
        <w:spacing w:line="254" w:lineRule="auto" w:before="157" w:after="0"/>
        <w:ind w:left="836" w:right="144" w:hanging="361"/>
        <w:jc w:val="left"/>
        <w:rPr>
          <w:sz w:val="22"/>
        </w:rPr>
      </w:pPr>
      <w:r>
        <w:rPr>
          <w:sz w:val="22"/>
        </w:rPr>
        <w:t>durant</w:t>
      </w:r>
      <w:r>
        <w:rPr>
          <w:spacing w:val="-6"/>
          <w:sz w:val="22"/>
        </w:rPr>
        <w:t> </w:t>
      </w:r>
      <w:r>
        <w:rPr>
          <w:sz w:val="22"/>
        </w:rPr>
        <w:t>l’admission</w:t>
      </w:r>
      <w:r>
        <w:rPr>
          <w:spacing w:val="-6"/>
          <w:sz w:val="22"/>
        </w:rPr>
        <w:t> </w:t>
      </w:r>
      <w:r>
        <w:rPr>
          <w:sz w:val="22"/>
        </w:rPr>
        <w:t>ou</w:t>
      </w:r>
      <w:r>
        <w:rPr>
          <w:spacing w:val="-6"/>
          <w:sz w:val="22"/>
        </w:rPr>
        <w:t> </w:t>
      </w:r>
      <w:r>
        <w:rPr>
          <w:sz w:val="22"/>
        </w:rPr>
        <w:t>la</w:t>
      </w:r>
      <w:r>
        <w:rPr>
          <w:spacing w:val="-1"/>
          <w:sz w:val="22"/>
        </w:rPr>
        <w:t> </w:t>
      </w:r>
      <w:r>
        <w:rPr>
          <w:sz w:val="22"/>
        </w:rPr>
        <w:t>prise</w:t>
      </w:r>
      <w:r>
        <w:rPr>
          <w:spacing w:val="-1"/>
          <w:sz w:val="22"/>
        </w:rPr>
        <w:t> </w:t>
      </w:r>
      <w:r>
        <w:rPr>
          <w:sz w:val="22"/>
        </w:rPr>
        <w:t>de</w:t>
      </w:r>
      <w:r>
        <w:rPr>
          <w:spacing w:val="-6"/>
          <w:sz w:val="22"/>
        </w:rPr>
        <w:t> </w:t>
      </w:r>
      <w:r>
        <w:rPr>
          <w:sz w:val="22"/>
        </w:rPr>
        <w:t>rendez-vous,</w:t>
      </w:r>
      <w:r>
        <w:rPr>
          <w:spacing w:val="-5"/>
          <w:sz w:val="22"/>
        </w:rPr>
        <w:t> </w:t>
      </w:r>
      <w:r>
        <w:rPr>
          <w:sz w:val="22"/>
        </w:rPr>
        <w:t>quand</w:t>
      </w:r>
      <w:r>
        <w:rPr>
          <w:spacing w:val="-6"/>
          <w:sz w:val="22"/>
        </w:rPr>
        <w:t> </w:t>
      </w:r>
      <w:r>
        <w:rPr>
          <w:sz w:val="22"/>
        </w:rPr>
        <w:t>les</w:t>
      </w:r>
      <w:r>
        <w:rPr>
          <w:spacing w:val="1"/>
          <w:sz w:val="22"/>
        </w:rPr>
        <w:t> </w:t>
      </w:r>
      <w:r>
        <w:rPr>
          <w:sz w:val="22"/>
        </w:rPr>
        <w:t>besoins</w:t>
      </w:r>
      <w:r>
        <w:rPr>
          <w:spacing w:val="1"/>
          <w:sz w:val="22"/>
        </w:rPr>
        <w:t> </w:t>
      </w:r>
      <w:r>
        <w:rPr>
          <w:sz w:val="22"/>
        </w:rPr>
        <w:t>en</w:t>
      </w:r>
      <w:r>
        <w:rPr>
          <w:spacing w:val="-7"/>
          <w:sz w:val="22"/>
        </w:rPr>
        <w:t> </w:t>
      </w:r>
      <w:r>
        <w:rPr>
          <w:sz w:val="22"/>
        </w:rPr>
        <w:t>matière</w:t>
      </w:r>
      <w:r>
        <w:rPr>
          <w:spacing w:val="-1"/>
          <w:sz w:val="22"/>
        </w:rPr>
        <w:t> </w:t>
      </w:r>
      <w:r>
        <w:rPr>
          <w:sz w:val="22"/>
        </w:rPr>
        <w:t>d’adaptation</w:t>
      </w:r>
      <w:r>
        <w:rPr>
          <w:spacing w:val="-1"/>
          <w:sz w:val="22"/>
        </w:rPr>
        <w:t> </w:t>
      </w:r>
      <w:r>
        <w:rPr>
          <w:sz w:val="22"/>
        </w:rPr>
        <w:t>de</w:t>
      </w:r>
      <w:r>
        <w:rPr>
          <w:spacing w:val="-6"/>
          <w:sz w:val="22"/>
        </w:rPr>
        <w:t> </w:t>
      </w:r>
      <w:r>
        <w:rPr>
          <w:spacing w:val="2"/>
          <w:sz w:val="22"/>
        </w:rPr>
        <w:t>la </w:t>
      </w:r>
      <w:r>
        <w:rPr>
          <w:sz w:val="22"/>
        </w:rPr>
        <w:t>personne ne sont pas cernés ou</w:t>
      </w:r>
      <w:r>
        <w:rPr>
          <w:spacing w:val="-6"/>
          <w:sz w:val="22"/>
        </w:rPr>
        <w:t> </w:t>
      </w:r>
      <w:r>
        <w:rPr>
          <w:sz w:val="22"/>
        </w:rPr>
        <w:t>consignés;</w:t>
      </w:r>
    </w:p>
    <w:p>
      <w:pPr>
        <w:pStyle w:val="ListParagraph"/>
        <w:numPr>
          <w:ilvl w:val="0"/>
          <w:numId w:val="1"/>
        </w:numPr>
        <w:tabs>
          <w:tab w:pos="835" w:val="left" w:leader="none"/>
          <w:tab w:pos="836" w:val="left" w:leader="none"/>
        </w:tabs>
        <w:spacing w:line="254" w:lineRule="auto" w:before="1" w:after="0"/>
        <w:ind w:left="836" w:right="329" w:hanging="361"/>
        <w:jc w:val="left"/>
        <w:rPr>
          <w:sz w:val="22"/>
        </w:rPr>
      </w:pPr>
      <w:r>
        <w:rPr>
          <w:sz w:val="22"/>
        </w:rPr>
        <w:t>lors</w:t>
      </w:r>
      <w:r>
        <w:rPr>
          <w:spacing w:val="-6"/>
          <w:sz w:val="22"/>
        </w:rPr>
        <w:t> </w:t>
      </w:r>
      <w:r>
        <w:rPr>
          <w:sz w:val="22"/>
        </w:rPr>
        <w:t>de</w:t>
      </w:r>
      <w:r>
        <w:rPr>
          <w:spacing w:val="-7"/>
          <w:sz w:val="22"/>
        </w:rPr>
        <w:t> </w:t>
      </w:r>
      <w:r>
        <w:rPr>
          <w:spacing w:val="2"/>
          <w:sz w:val="22"/>
        </w:rPr>
        <w:t>la</w:t>
      </w:r>
      <w:r>
        <w:rPr>
          <w:spacing w:val="-8"/>
          <w:sz w:val="22"/>
        </w:rPr>
        <w:t> </w:t>
      </w:r>
      <w:r>
        <w:rPr>
          <w:sz w:val="22"/>
        </w:rPr>
        <w:t>communication,</w:t>
      </w:r>
      <w:r>
        <w:rPr>
          <w:spacing w:val="-6"/>
          <w:sz w:val="22"/>
        </w:rPr>
        <w:t> </w:t>
      </w:r>
      <w:r>
        <w:rPr>
          <w:sz w:val="22"/>
        </w:rPr>
        <w:t>si des</w:t>
      </w:r>
      <w:r>
        <w:rPr>
          <w:spacing w:val="-1"/>
          <w:sz w:val="22"/>
        </w:rPr>
        <w:t> </w:t>
      </w:r>
      <w:r>
        <w:rPr>
          <w:sz w:val="22"/>
        </w:rPr>
        <w:t>patients ont</w:t>
      </w:r>
      <w:r>
        <w:rPr>
          <w:spacing w:val="-7"/>
          <w:sz w:val="22"/>
        </w:rPr>
        <w:t> </w:t>
      </w:r>
      <w:r>
        <w:rPr>
          <w:sz w:val="22"/>
        </w:rPr>
        <w:t>de</w:t>
      </w:r>
      <w:r>
        <w:rPr>
          <w:spacing w:val="-7"/>
          <w:sz w:val="22"/>
        </w:rPr>
        <w:t> </w:t>
      </w:r>
      <w:r>
        <w:rPr>
          <w:sz w:val="22"/>
        </w:rPr>
        <w:t>la</w:t>
      </w:r>
      <w:r>
        <w:rPr>
          <w:spacing w:val="-3"/>
          <w:sz w:val="22"/>
        </w:rPr>
        <w:t> </w:t>
      </w:r>
      <w:r>
        <w:rPr>
          <w:sz w:val="22"/>
        </w:rPr>
        <w:t>difficulté</w:t>
      </w:r>
      <w:r>
        <w:rPr>
          <w:spacing w:val="-3"/>
          <w:sz w:val="22"/>
        </w:rPr>
        <w:t> </w:t>
      </w:r>
      <w:r>
        <w:rPr>
          <w:sz w:val="22"/>
        </w:rPr>
        <w:t>à</w:t>
      </w:r>
      <w:r>
        <w:rPr>
          <w:spacing w:val="-2"/>
          <w:sz w:val="22"/>
        </w:rPr>
        <w:t> </w:t>
      </w:r>
      <w:r>
        <w:rPr>
          <w:sz w:val="22"/>
        </w:rPr>
        <w:t>exprimer</w:t>
      </w:r>
      <w:r>
        <w:rPr>
          <w:spacing w:val="-4"/>
          <w:sz w:val="22"/>
        </w:rPr>
        <w:t> </w:t>
      </w:r>
      <w:r>
        <w:rPr>
          <w:sz w:val="22"/>
        </w:rPr>
        <w:t>leurs</w:t>
      </w:r>
      <w:r>
        <w:rPr>
          <w:spacing w:val="-5"/>
          <w:sz w:val="22"/>
        </w:rPr>
        <w:t> </w:t>
      </w:r>
      <w:r>
        <w:rPr>
          <w:sz w:val="22"/>
        </w:rPr>
        <w:t>symptômes</w:t>
      </w:r>
      <w:r>
        <w:rPr>
          <w:spacing w:val="-1"/>
          <w:sz w:val="22"/>
        </w:rPr>
        <w:t> </w:t>
      </w:r>
      <w:r>
        <w:rPr>
          <w:sz w:val="22"/>
        </w:rPr>
        <w:t>ou</w:t>
      </w:r>
      <w:r>
        <w:rPr>
          <w:spacing w:val="-3"/>
          <w:sz w:val="22"/>
        </w:rPr>
        <w:t> </w:t>
      </w:r>
      <w:r>
        <w:rPr>
          <w:sz w:val="22"/>
        </w:rPr>
        <w:t>à comprendre leurs plans de traitement sans</w:t>
      </w:r>
      <w:r>
        <w:rPr>
          <w:spacing w:val="-14"/>
          <w:sz w:val="22"/>
        </w:rPr>
        <w:t> </w:t>
      </w:r>
      <w:r>
        <w:rPr>
          <w:sz w:val="22"/>
        </w:rPr>
        <w:t>aide;</w:t>
      </w:r>
    </w:p>
    <w:p>
      <w:pPr>
        <w:pStyle w:val="ListParagraph"/>
        <w:numPr>
          <w:ilvl w:val="0"/>
          <w:numId w:val="1"/>
        </w:numPr>
        <w:tabs>
          <w:tab w:pos="835" w:val="left" w:leader="none"/>
          <w:tab w:pos="836" w:val="left" w:leader="none"/>
        </w:tabs>
        <w:spacing w:line="254" w:lineRule="auto" w:before="2" w:after="0"/>
        <w:ind w:left="836" w:right="768" w:hanging="361"/>
        <w:jc w:val="left"/>
        <w:rPr>
          <w:sz w:val="22"/>
        </w:rPr>
      </w:pPr>
      <w:r>
        <w:rPr>
          <w:sz w:val="22"/>
        </w:rPr>
        <w:t>tout</w:t>
      </w:r>
      <w:r>
        <w:rPr>
          <w:spacing w:val="-2"/>
          <w:sz w:val="22"/>
        </w:rPr>
        <w:t> </w:t>
      </w:r>
      <w:r>
        <w:rPr>
          <w:sz w:val="22"/>
        </w:rPr>
        <w:t>au</w:t>
      </w:r>
      <w:r>
        <w:rPr>
          <w:spacing w:val="-7"/>
          <w:sz w:val="22"/>
        </w:rPr>
        <w:t> </w:t>
      </w:r>
      <w:r>
        <w:rPr>
          <w:sz w:val="22"/>
        </w:rPr>
        <w:t>long</w:t>
      </w:r>
      <w:r>
        <w:rPr>
          <w:spacing w:val="-2"/>
          <w:sz w:val="22"/>
        </w:rPr>
        <w:t> </w:t>
      </w:r>
      <w:r>
        <w:rPr>
          <w:sz w:val="22"/>
        </w:rPr>
        <w:t>du</w:t>
      </w:r>
      <w:r>
        <w:rPr>
          <w:spacing w:val="-3"/>
          <w:sz w:val="22"/>
        </w:rPr>
        <w:t> </w:t>
      </w:r>
      <w:r>
        <w:rPr>
          <w:sz w:val="22"/>
        </w:rPr>
        <w:t>processus de</w:t>
      </w:r>
      <w:r>
        <w:rPr>
          <w:spacing w:val="-3"/>
          <w:sz w:val="22"/>
        </w:rPr>
        <w:t> </w:t>
      </w:r>
      <w:r>
        <w:rPr>
          <w:sz w:val="22"/>
        </w:rPr>
        <w:t>planification</w:t>
      </w:r>
      <w:r>
        <w:rPr>
          <w:spacing w:val="-7"/>
          <w:sz w:val="22"/>
        </w:rPr>
        <w:t> </w:t>
      </w:r>
      <w:r>
        <w:rPr>
          <w:sz w:val="22"/>
        </w:rPr>
        <w:t>du</w:t>
      </w:r>
      <w:r>
        <w:rPr>
          <w:spacing w:val="-7"/>
          <w:sz w:val="22"/>
        </w:rPr>
        <w:t> </w:t>
      </w:r>
      <w:r>
        <w:rPr>
          <w:sz w:val="22"/>
        </w:rPr>
        <w:t>traitement</w:t>
      </w:r>
      <w:r>
        <w:rPr>
          <w:spacing w:val="-1"/>
          <w:sz w:val="22"/>
        </w:rPr>
        <w:t> </w:t>
      </w:r>
      <w:r>
        <w:rPr>
          <w:sz w:val="22"/>
        </w:rPr>
        <w:t>et</w:t>
      </w:r>
      <w:r>
        <w:rPr>
          <w:spacing w:val="-2"/>
          <w:sz w:val="22"/>
        </w:rPr>
        <w:t> </w:t>
      </w:r>
      <w:r>
        <w:rPr>
          <w:sz w:val="22"/>
        </w:rPr>
        <w:t>de</w:t>
      </w:r>
      <w:r>
        <w:rPr>
          <w:spacing w:val="-7"/>
          <w:sz w:val="22"/>
        </w:rPr>
        <w:t> </w:t>
      </w:r>
      <w:r>
        <w:rPr>
          <w:sz w:val="22"/>
        </w:rPr>
        <w:t>celui</w:t>
      </w:r>
      <w:r>
        <w:rPr>
          <w:spacing w:val="1"/>
          <w:sz w:val="22"/>
        </w:rPr>
        <w:t> </w:t>
      </w:r>
      <w:r>
        <w:rPr>
          <w:sz w:val="22"/>
        </w:rPr>
        <w:t>du</w:t>
      </w:r>
      <w:r>
        <w:rPr>
          <w:spacing w:val="-8"/>
          <w:sz w:val="22"/>
        </w:rPr>
        <w:t> </w:t>
      </w:r>
      <w:r>
        <w:rPr>
          <w:sz w:val="22"/>
        </w:rPr>
        <w:t>congé,</w:t>
      </w:r>
      <w:r>
        <w:rPr>
          <w:spacing w:val="-1"/>
          <w:sz w:val="22"/>
        </w:rPr>
        <w:t> </w:t>
      </w:r>
      <w:r>
        <w:rPr>
          <w:sz w:val="22"/>
        </w:rPr>
        <w:t>lorsque</w:t>
      </w:r>
      <w:r>
        <w:rPr>
          <w:spacing w:val="-7"/>
          <w:sz w:val="22"/>
        </w:rPr>
        <w:t> </w:t>
      </w:r>
      <w:r>
        <w:rPr>
          <w:sz w:val="22"/>
        </w:rPr>
        <w:t>les besoins en matière d’accessibilité pourraient être abordés de façon non</w:t>
      </w:r>
      <w:r>
        <w:rPr>
          <w:spacing w:val="-31"/>
          <w:sz w:val="22"/>
        </w:rPr>
        <w:t> </w:t>
      </w:r>
      <w:r>
        <w:rPr>
          <w:sz w:val="22"/>
        </w:rPr>
        <w:t>uniforme.</w:t>
      </w:r>
    </w:p>
    <w:p>
      <w:pPr>
        <w:pStyle w:val="BodyText"/>
        <w:spacing w:line="256" w:lineRule="auto" w:before="81"/>
      </w:pPr>
      <w:r>
        <w:rPr/>
        <w:t>La mise en situation ci-dessous illustre certains des obstacles signalés par les patients handicapés qui sont accompagnés par une personne de soutien.</w:t>
      </w:r>
    </w:p>
    <w:p>
      <w:pPr>
        <w:pStyle w:val="BodyText"/>
        <w:ind w:left="0"/>
        <w:rPr>
          <w:sz w:val="24"/>
        </w:rPr>
      </w:pPr>
    </w:p>
    <w:p>
      <w:pPr>
        <w:pStyle w:val="BodyText"/>
        <w:spacing w:before="2"/>
        <w:ind w:left="0"/>
        <w:rPr>
          <w:sz w:val="27"/>
        </w:rPr>
      </w:pPr>
    </w:p>
    <w:p>
      <w:pPr>
        <w:pStyle w:val="Heading1"/>
        <w:spacing w:line="256" w:lineRule="auto" w:before="1"/>
      </w:pPr>
      <w:r>
        <w:rPr/>
        <w:t>Exemple d’obstacles en matière de soins de santé couramment rencontrés par les personnes handicapées :</w:t>
      </w:r>
    </w:p>
    <w:p>
      <w:pPr>
        <w:pStyle w:val="BodyText"/>
        <w:spacing w:line="256" w:lineRule="auto" w:before="158"/>
        <w:ind w:left="540"/>
      </w:pPr>
      <w:r>
        <w:rPr/>
        <w:t>Maria, une patiente aux prises avec un handicap cognitif, arrive à l’hôpital pour y subir une intervention programmée accompagnée de James, sa personne de soutien. Au moment de l’admission, on dit à James qu’il ne peut accompagner Maria au-delà de l’aire d’attente en raison des restrictions qui visent les visiteurs, ce qui limite la capacité de ce dernier à appuyer la communication et la prise de décisions durant les discussions concernant la prestation des soins. Après que Maria et James aient expliqué son rôle de personne de soutien, on permet à James d’accompagner Maria au-delà de l’aire d’attente. Plus tard, lors de la prestation des soins hospitaliers, on place Maria dans une chambre partagée qui offre peu d’espace pour James.</w:t>
      </w:r>
    </w:p>
    <w:p>
      <w:pPr>
        <w:pStyle w:val="BodyText"/>
        <w:spacing w:line="252" w:lineRule="auto"/>
        <w:ind w:left="540" w:right="185"/>
      </w:pPr>
      <w:r>
        <w:rPr/>
        <w:t>Pendant les heures du soir, on demande à James de quitter les lieux compte tenu de la politique de l’hôpital.</w:t>
      </w:r>
    </w:p>
    <w:p>
      <w:pPr>
        <w:pStyle w:val="BodyText"/>
        <w:spacing w:line="256" w:lineRule="auto" w:before="159"/>
        <w:ind w:left="540" w:right="147"/>
      </w:pPr>
      <w:r>
        <w:rPr/>
        <w:t>Sans la présence de James, Maria a de la difficulté à comprendre les consignes, à communiquer ses symptômes, à participer aux décisions concernant le traitement et à donner son consentement informé. Elle se sent anxieuse et désorientée durant la prestation des soins, et </w:t>
      </w:r>
      <w:r>
        <w:rPr>
          <w:spacing w:val="2"/>
        </w:rPr>
        <w:t>le </w:t>
      </w:r>
      <w:r>
        <w:rPr/>
        <w:t>personnel passe</w:t>
      </w:r>
      <w:r>
        <w:rPr>
          <w:spacing w:val="-3"/>
        </w:rPr>
        <w:t> </w:t>
      </w:r>
      <w:r>
        <w:rPr/>
        <w:t>plus de</w:t>
      </w:r>
      <w:r>
        <w:rPr>
          <w:spacing w:val="-7"/>
        </w:rPr>
        <w:t> </w:t>
      </w:r>
      <w:r>
        <w:rPr/>
        <w:t>temps</w:t>
      </w:r>
      <w:r>
        <w:rPr>
          <w:spacing w:val="-1"/>
        </w:rPr>
        <w:t> </w:t>
      </w:r>
      <w:r>
        <w:rPr/>
        <w:t>à</w:t>
      </w:r>
      <w:r>
        <w:rPr>
          <w:spacing w:val="-7"/>
        </w:rPr>
        <w:t> </w:t>
      </w:r>
      <w:r>
        <w:rPr/>
        <w:t>essayer</w:t>
      </w:r>
      <w:r>
        <w:rPr>
          <w:spacing w:val="1"/>
        </w:rPr>
        <w:t> </w:t>
      </w:r>
      <w:r>
        <w:rPr/>
        <w:t>de</w:t>
      </w:r>
      <w:r>
        <w:rPr>
          <w:spacing w:val="-7"/>
        </w:rPr>
        <w:t> </w:t>
      </w:r>
      <w:r>
        <w:rPr/>
        <w:t>communiquer</w:t>
      </w:r>
      <w:r>
        <w:rPr>
          <w:spacing w:val="-3"/>
        </w:rPr>
        <w:t> </w:t>
      </w:r>
      <w:r>
        <w:rPr/>
        <w:t>avec</w:t>
      </w:r>
      <w:r>
        <w:rPr>
          <w:spacing w:val="-1"/>
        </w:rPr>
        <w:t> </w:t>
      </w:r>
      <w:r>
        <w:rPr/>
        <w:t>elle</w:t>
      </w:r>
      <w:r>
        <w:rPr>
          <w:spacing w:val="-7"/>
        </w:rPr>
        <w:t> </w:t>
      </w:r>
      <w:r>
        <w:rPr/>
        <w:t>et</w:t>
      </w:r>
      <w:r>
        <w:rPr>
          <w:spacing w:val="-6"/>
        </w:rPr>
        <w:t> </w:t>
      </w:r>
      <w:r>
        <w:rPr/>
        <w:t>à</w:t>
      </w:r>
      <w:r>
        <w:rPr>
          <w:spacing w:val="-3"/>
        </w:rPr>
        <w:t> </w:t>
      </w:r>
      <w:r>
        <w:rPr/>
        <w:t>répondre</w:t>
      </w:r>
      <w:r>
        <w:rPr>
          <w:spacing w:val="-7"/>
        </w:rPr>
        <w:t> </w:t>
      </w:r>
      <w:r>
        <w:rPr/>
        <w:t>à</w:t>
      </w:r>
      <w:r>
        <w:rPr>
          <w:spacing w:val="-3"/>
        </w:rPr>
        <w:t> </w:t>
      </w:r>
      <w:r>
        <w:rPr/>
        <w:t>ses besoins, ce qui entraîne des retards et augmente </w:t>
      </w:r>
      <w:r>
        <w:rPr>
          <w:spacing w:val="2"/>
        </w:rPr>
        <w:t>le </w:t>
      </w:r>
      <w:r>
        <w:rPr/>
        <w:t>risque de mauvaise</w:t>
      </w:r>
      <w:r>
        <w:rPr>
          <w:spacing w:val="-24"/>
        </w:rPr>
        <w:t> </w:t>
      </w:r>
      <w:r>
        <w:rPr/>
        <w:t>communication.</w:t>
      </w:r>
    </w:p>
    <w:p>
      <w:pPr>
        <w:pStyle w:val="BodyText"/>
        <w:spacing w:line="256" w:lineRule="auto" w:before="157"/>
        <w:ind w:right="579"/>
      </w:pPr>
      <w:r>
        <w:rPr>
          <w:b/>
        </w:rPr>
        <w:t>Résultat : </w:t>
      </w:r>
      <w:r>
        <w:rPr/>
        <w:t>Les obstacles, comme la séparation durant la prestation des soins, l’accès restreint à certaines heures et l’espace limité, peuvent compromettre la sécurité, l’autonomie et l’expérience globale du patient.</w:t>
      </w:r>
    </w:p>
    <w:p>
      <w:pPr>
        <w:pStyle w:val="BodyText"/>
        <w:ind w:left="0"/>
        <w:rPr>
          <w:sz w:val="24"/>
        </w:rPr>
      </w:pPr>
    </w:p>
    <w:p>
      <w:pPr>
        <w:pStyle w:val="BodyText"/>
        <w:spacing w:before="2"/>
        <w:ind w:left="0"/>
        <w:rPr>
          <w:sz w:val="27"/>
        </w:rPr>
      </w:pPr>
    </w:p>
    <w:p>
      <w:pPr>
        <w:pStyle w:val="Heading1"/>
      </w:pPr>
      <w:r>
        <w:rPr/>
        <w:t>Stratégies d’intégration des personnes de soutien</w:t>
      </w:r>
    </w:p>
    <w:p>
      <w:pPr>
        <w:spacing w:line="256" w:lineRule="auto" w:before="178"/>
        <w:ind w:left="115" w:right="227" w:firstLine="0"/>
        <w:jc w:val="both"/>
        <w:rPr>
          <w:sz w:val="22"/>
        </w:rPr>
      </w:pPr>
      <w:r>
        <w:rPr>
          <w:spacing w:val="-3"/>
          <w:sz w:val="22"/>
        </w:rPr>
        <w:t>Voici</w:t>
      </w:r>
      <w:r>
        <w:rPr>
          <w:spacing w:val="-5"/>
          <w:sz w:val="22"/>
        </w:rPr>
        <w:t> </w:t>
      </w:r>
      <w:r>
        <w:rPr>
          <w:sz w:val="22"/>
        </w:rPr>
        <w:t>quelques</w:t>
      </w:r>
      <w:r>
        <w:rPr>
          <w:spacing w:val="-6"/>
          <w:sz w:val="22"/>
        </w:rPr>
        <w:t> </w:t>
      </w:r>
      <w:r>
        <w:rPr>
          <w:sz w:val="22"/>
        </w:rPr>
        <w:t>mesures</w:t>
      </w:r>
      <w:r>
        <w:rPr>
          <w:spacing w:val="-5"/>
          <w:sz w:val="22"/>
        </w:rPr>
        <w:t> </w:t>
      </w:r>
      <w:r>
        <w:rPr>
          <w:sz w:val="22"/>
        </w:rPr>
        <w:t>que</w:t>
      </w:r>
      <w:r>
        <w:rPr>
          <w:spacing w:val="-3"/>
          <w:sz w:val="22"/>
        </w:rPr>
        <w:t> </w:t>
      </w:r>
      <w:r>
        <w:rPr>
          <w:sz w:val="22"/>
        </w:rPr>
        <w:t>peuvent</w:t>
      </w:r>
      <w:r>
        <w:rPr>
          <w:spacing w:val="-2"/>
          <w:sz w:val="22"/>
        </w:rPr>
        <w:t> </w:t>
      </w:r>
      <w:r>
        <w:rPr>
          <w:sz w:val="22"/>
        </w:rPr>
        <w:t>prendre</w:t>
      </w:r>
      <w:r>
        <w:rPr>
          <w:spacing w:val="-7"/>
          <w:sz w:val="22"/>
        </w:rPr>
        <w:t> </w:t>
      </w:r>
      <w:r>
        <w:rPr>
          <w:sz w:val="22"/>
        </w:rPr>
        <w:t>les</w:t>
      </w:r>
      <w:r>
        <w:rPr>
          <w:spacing w:val="-6"/>
          <w:sz w:val="22"/>
        </w:rPr>
        <w:t> </w:t>
      </w:r>
      <w:r>
        <w:rPr>
          <w:sz w:val="22"/>
        </w:rPr>
        <w:t>hôpitaux et</w:t>
      </w:r>
      <w:r>
        <w:rPr>
          <w:spacing w:val="-2"/>
          <w:sz w:val="22"/>
        </w:rPr>
        <w:t> </w:t>
      </w:r>
      <w:r>
        <w:rPr>
          <w:sz w:val="22"/>
        </w:rPr>
        <w:t>le</w:t>
      </w:r>
      <w:r>
        <w:rPr>
          <w:spacing w:val="-8"/>
          <w:sz w:val="22"/>
        </w:rPr>
        <w:t> </w:t>
      </w:r>
      <w:r>
        <w:rPr>
          <w:sz w:val="22"/>
        </w:rPr>
        <w:t>personnel</w:t>
      </w:r>
      <w:r>
        <w:rPr>
          <w:spacing w:val="-4"/>
          <w:sz w:val="22"/>
        </w:rPr>
        <w:t> </w:t>
      </w:r>
      <w:r>
        <w:rPr>
          <w:sz w:val="22"/>
        </w:rPr>
        <w:t>pour</w:t>
      </w:r>
      <w:r>
        <w:rPr>
          <w:spacing w:val="-4"/>
          <w:sz w:val="22"/>
        </w:rPr>
        <w:t> </w:t>
      </w:r>
      <w:r>
        <w:rPr>
          <w:sz w:val="22"/>
        </w:rPr>
        <w:t>améliorer</w:t>
      </w:r>
      <w:r>
        <w:rPr>
          <w:spacing w:val="-4"/>
          <w:sz w:val="22"/>
        </w:rPr>
        <w:t> </w:t>
      </w:r>
      <w:r>
        <w:rPr>
          <w:sz w:val="22"/>
        </w:rPr>
        <w:t>l’expérience du patient, conformément aux exigences de la </w:t>
      </w:r>
      <w:r>
        <w:rPr>
          <w:i/>
          <w:sz w:val="22"/>
        </w:rPr>
        <w:t>Loi sur l’accessibilité pour les personnes handicapées </w:t>
      </w:r>
      <w:r>
        <w:rPr>
          <w:i/>
          <w:sz w:val="22"/>
        </w:rPr>
        <w:t>de</w:t>
      </w:r>
      <w:r>
        <w:rPr>
          <w:i/>
          <w:spacing w:val="-5"/>
          <w:sz w:val="22"/>
        </w:rPr>
        <w:t> </w:t>
      </w:r>
      <w:r>
        <w:rPr>
          <w:i/>
          <w:sz w:val="22"/>
        </w:rPr>
        <w:t>l’Ontario</w:t>
      </w:r>
      <w:r>
        <w:rPr>
          <w:sz w:val="22"/>
        </w:rPr>
        <w:t>.</w:t>
      </w:r>
    </w:p>
    <w:p>
      <w:pPr>
        <w:spacing w:after="0" w:line="256" w:lineRule="auto"/>
        <w:jc w:val="both"/>
        <w:rPr>
          <w:sz w:val="22"/>
        </w:rPr>
        <w:sectPr>
          <w:pgSz w:w="12240" w:h="15840"/>
          <w:pgMar w:header="0" w:footer="1261" w:top="840" w:bottom="1460" w:left="1020" w:right="1020"/>
        </w:sectPr>
      </w:pPr>
    </w:p>
    <w:tbl>
      <w:tblPr>
        <w:tblW w:w="0" w:type="auto"/>
        <w:jc w:val="left"/>
        <w:tblInd w:w="125" w:type="dxa"/>
        <w:tblBorders>
          <w:top w:val="single" w:sz="4" w:space="0" w:color="155F82"/>
          <w:left w:val="single" w:sz="4" w:space="0" w:color="155F82"/>
          <w:bottom w:val="single" w:sz="4" w:space="0" w:color="155F82"/>
          <w:right w:val="single" w:sz="4" w:space="0" w:color="155F82"/>
          <w:insideH w:val="single" w:sz="4" w:space="0" w:color="155F82"/>
          <w:insideV w:val="single" w:sz="4" w:space="0" w:color="155F82"/>
        </w:tblBorders>
        <w:tblLayout w:type="fixed"/>
        <w:tblCellMar>
          <w:top w:w="0" w:type="dxa"/>
          <w:left w:w="0" w:type="dxa"/>
          <w:bottom w:w="0" w:type="dxa"/>
          <w:right w:w="0" w:type="dxa"/>
        </w:tblCellMar>
        <w:tblLook w:val="01E0"/>
      </w:tblPr>
      <w:tblGrid>
        <w:gridCol w:w="3832"/>
        <w:gridCol w:w="5813"/>
      </w:tblGrid>
      <w:tr>
        <w:trPr>
          <w:trHeight w:val="495" w:hRule="atLeast"/>
        </w:trPr>
        <w:tc>
          <w:tcPr>
            <w:tcW w:w="3832" w:type="dxa"/>
          </w:tcPr>
          <w:p>
            <w:pPr>
              <w:pStyle w:val="TableParagraph"/>
              <w:ind w:left="105"/>
              <w:rPr>
                <w:b/>
                <w:sz w:val="22"/>
              </w:rPr>
            </w:pPr>
            <w:r>
              <w:rPr>
                <w:b/>
                <w:sz w:val="22"/>
              </w:rPr>
              <w:t>Défi</w:t>
            </w:r>
          </w:p>
        </w:tc>
        <w:tc>
          <w:tcPr>
            <w:tcW w:w="5813" w:type="dxa"/>
          </w:tcPr>
          <w:p>
            <w:pPr>
              <w:pStyle w:val="TableParagraph"/>
              <w:rPr>
                <w:b/>
                <w:sz w:val="22"/>
              </w:rPr>
            </w:pPr>
            <w:r>
              <w:rPr>
                <w:b/>
                <w:sz w:val="22"/>
              </w:rPr>
              <w:t>Mesure recommandée</w:t>
            </w:r>
          </w:p>
        </w:tc>
      </w:tr>
      <w:tr>
        <w:trPr>
          <w:trHeight w:val="1505" w:hRule="atLeast"/>
        </w:trPr>
        <w:tc>
          <w:tcPr>
            <w:tcW w:w="3832" w:type="dxa"/>
          </w:tcPr>
          <w:p>
            <w:pPr>
              <w:pStyle w:val="TableParagraph"/>
              <w:spacing w:before="5"/>
              <w:ind w:left="0"/>
              <w:rPr>
                <w:sz w:val="32"/>
              </w:rPr>
            </w:pPr>
          </w:p>
          <w:p>
            <w:pPr>
              <w:pStyle w:val="TableParagraph"/>
              <w:spacing w:line="242" w:lineRule="auto" w:before="0"/>
              <w:ind w:left="105"/>
              <w:rPr>
                <w:sz w:val="22"/>
              </w:rPr>
            </w:pPr>
            <w:r>
              <w:rPr>
                <w:sz w:val="22"/>
              </w:rPr>
              <w:t>Restrictions imposées à la personne de soutien en raison des politiques applicables aux visiteurs</w:t>
            </w:r>
          </w:p>
        </w:tc>
        <w:tc>
          <w:tcPr>
            <w:tcW w:w="5813" w:type="dxa"/>
          </w:tcPr>
          <w:p>
            <w:pPr>
              <w:pStyle w:val="TableParagraph"/>
              <w:ind w:right="132"/>
              <w:rPr>
                <w:sz w:val="22"/>
              </w:rPr>
            </w:pPr>
            <w:r>
              <w:rPr>
                <w:sz w:val="22"/>
              </w:rPr>
              <w:t>Exempter les personnes de soutien des restrictions applicables aux visiteurs, et veiller à ce que les politiques, procédures et pratiques permettent aux personnes handicapées d’avoir accès à leur personne</w:t>
            </w:r>
            <w:r>
              <w:rPr>
                <w:spacing w:val="-32"/>
                <w:sz w:val="22"/>
              </w:rPr>
              <w:t> </w:t>
            </w:r>
            <w:r>
              <w:rPr>
                <w:sz w:val="22"/>
              </w:rPr>
              <w:t>de soutien tout au long de leurs</w:t>
            </w:r>
            <w:r>
              <w:rPr>
                <w:spacing w:val="-13"/>
                <w:sz w:val="22"/>
              </w:rPr>
              <w:t> </w:t>
            </w:r>
            <w:r>
              <w:rPr>
                <w:sz w:val="22"/>
              </w:rPr>
              <w:t>soins</w:t>
            </w:r>
          </w:p>
        </w:tc>
      </w:tr>
      <w:tr>
        <w:trPr>
          <w:trHeight w:val="745" w:hRule="atLeast"/>
        </w:trPr>
        <w:tc>
          <w:tcPr>
            <w:tcW w:w="3832" w:type="dxa"/>
          </w:tcPr>
          <w:p>
            <w:pPr>
              <w:pStyle w:val="TableParagraph"/>
              <w:spacing w:line="242" w:lineRule="auto"/>
              <w:ind w:left="105"/>
              <w:rPr>
                <w:sz w:val="22"/>
              </w:rPr>
            </w:pPr>
            <w:r>
              <w:rPr>
                <w:sz w:val="22"/>
              </w:rPr>
              <w:t>Séparation lors de la prestation des soins au patient</w:t>
            </w:r>
          </w:p>
        </w:tc>
        <w:tc>
          <w:tcPr>
            <w:tcW w:w="5813" w:type="dxa"/>
          </w:tcPr>
          <w:p>
            <w:pPr>
              <w:pStyle w:val="TableParagraph"/>
              <w:spacing w:line="242" w:lineRule="auto"/>
              <w:ind w:right="93"/>
              <w:rPr>
                <w:sz w:val="22"/>
              </w:rPr>
            </w:pPr>
            <w:r>
              <w:rPr>
                <w:sz w:val="22"/>
              </w:rPr>
              <w:t>En cas de séparation, réunir rapidement le patient avec sa personne de soutien</w:t>
            </w:r>
          </w:p>
        </w:tc>
      </w:tr>
      <w:tr>
        <w:trPr>
          <w:trHeight w:val="745" w:hRule="atLeast"/>
        </w:trPr>
        <w:tc>
          <w:tcPr>
            <w:tcW w:w="3832" w:type="dxa"/>
          </w:tcPr>
          <w:p>
            <w:pPr>
              <w:pStyle w:val="TableParagraph"/>
              <w:spacing w:line="242" w:lineRule="auto" w:before="124"/>
              <w:ind w:left="105"/>
              <w:rPr>
                <w:sz w:val="22"/>
              </w:rPr>
            </w:pPr>
            <w:r>
              <w:rPr>
                <w:sz w:val="22"/>
              </w:rPr>
              <w:t>Espace limité pour les personnes de soutien dans les aires d’attente</w:t>
            </w:r>
          </w:p>
        </w:tc>
        <w:tc>
          <w:tcPr>
            <w:tcW w:w="5813" w:type="dxa"/>
          </w:tcPr>
          <w:p>
            <w:pPr>
              <w:pStyle w:val="TableParagraph"/>
              <w:spacing w:line="242" w:lineRule="auto" w:before="124"/>
              <w:ind w:right="93"/>
              <w:rPr>
                <w:sz w:val="22"/>
              </w:rPr>
            </w:pPr>
            <w:r>
              <w:rPr>
                <w:sz w:val="22"/>
              </w:rPr>
              <w:t>Offrir suffisamment d’espace et de ressources aux patients et aux personnes de soutien</w:t>
            </w:r>
          </w:p>
        </w:tc>
      </w:tr>
      <w:tr>
        <w:trPr>
          <w:trHeight w:val="1000" w:hRule="atLeast"/>
        </w:trPr>
        <w:tc>
          <w:tcPr>
            <w:tcW w:w="3832" w:type="dxa"/>
          </w:tcPr>
          <w:p>
            <w:pPr>
              <w:pStyle w:val="TableParagraph"/>
              <w:spacing w:before="7"/>
              <w:ind w:left="0"/>
              <w:rPr>
                <w:sz w:val="21"/>
              </w:rPr>
            </w:pPr>
          </w:p>
          <w:p>
            <w:pPr>
              <w:pStyle w:val="TableParagraph"/>
              <w:spacing w:line="242" w:lineRule="auto" w:before="0"/>
              <w:ind w:left="105"/>
              <w:rPr>
                <w:sz w:val="22"/>
              </w:rPr>
            </w:pPr>
            <w:r>
              <w:rPr>
                <w:sz w:val="22"/>
              </w:rPr>
              <w:t>Manque de participation à la planification des soins</w:t>
            </w:r>
          </w:p>
        </w:tc>
        <w:tc>
          <w:tcPr>
            <w:tcW w:w="5813" w:type="dxa"/>
          </w:tcPr>
          <w:p>
            <w:pPr>
              <w:pStyle w:val="TableParagraph"/>
              <w:spacing w:line="242" w:lineRule="auto"/>
              <w:rPr>
                <w:sz w:val="22"/>
              </w:rPr>
            </w:pPr>
            <w:r>
              <w:rPr>
                <w:sz w:val="22"/>
              </w:rPr>
              <w:t>Consigner le rôle de la personne de soutien dans le plan des soins au patient et la faire participer lors du triage, de la prestation des soins et de l’obtention du congé</w:t>
            </w:r>
          </w:p>
        </w:tc>
      </w:tr>
      <w:tr>
        <w:trPr>
          <w:trHeight w:val="1000" w:hRule="atLeast"/>
        </w:trPr>
        <w:tc>
          <w:tcPr>
            <w:tcW w:w="3832" w:type="dxa"/>
          </w:tcPr>
          <w:p>
            <w:pPr>
              <w:pStyle w:val="TableParagraph"/>
              <w:spacing w:before="11"/>
              <w:ind w:left="0"/>
              <w:rPr>
                <w:sz w:val="32"/>
              </w:rPr>
            </w:pPr>
          </w:p>
          <w:p>
            <w:pPr>
              <w:pStyle w:val="TableParagraph"/>
              <w:spacing w:before="0"/>
              <w:ind w:left="105"/>
              <w:rPr>
                <w:sz w:val="22"/>
              </w:rPr>
            </w:pPr>
            <w:r>
              <w:rPr>
                <w:sz w:val="22"/>
              </w:rPr>
              <w:t>Obstacles à la communication</w:t>
            </w:r>
          </w:p>
        </w:tc>
        <w:tc>
          <w:tcPr>
            <w:tcW w:w="5813" w:type="dxa"/>
          </w:tcPr>
          <w:p>
            <w:pPr>
              <w:pStyle w:val="TableParagraph"/>
              <w:spacing w:before="124"/>
              <w:ind w:right="93"/>
              <w:rPr>
                <w:sz w:val="22"/>
              </w:rPr>
            </w:pPr>
            <w:r>
              <w:rPr>
                <w:sz w:val="22"/>
              </w:rPr>
              <w:t>Inclure la personne de soutien lors des processus de communication et d’interprétation, si le patient le demande et sous réserve du consentement du patient</w:t>
            </w:r>
          </w:p>
        </w:tc>
      </w:tr>
      <w:tr>
        <w:trPr>
          <w:trHeight w:val="1250" w:hRule="atLeast"/>
        </w:trPr>
        <w:tc>
          <w:tcPr>
            <w:tcW w:w="3832" w:type="dxa"/>
          </w:tcPr>
          <w:p>
            <w:pPr>
              <w:pStyle w:val="TableParagraph"/>
              <w:spacing w:before="5"/>
              <w:ind w:left="0"/>
              <w:rPr>
                <w:sz w:val="32"/>
              </w:rPr>
            </w:pPr>
          </w:p>
          <w:p>
            <w:pPr>
              <w:pStyle w:val="TableParagraph"/>
              <w:spacing w:line="242" w:lineRule="auto" w:before="0"/>
              <w:ind w:left="105"/>
              <w:rPr>
                <w:sz w:val="22"/>
              </w:rPr>
            </w:pPr>
            <w:r>
              <w:rPr>
                <w:sz w:val="22"/>
              </w:rPr>
              <w:t>Besoins du patient en matière d’adaptation inconnus</w:t>
            </w:r>
          </w:p>
        </w:tc>
        <w:tc>
          <w:tcPr>
            <w:tcW w:w="5813" w:type="dxa"/>
          </w:tcPr>
          <w:p>
            <w:pPr>
              <w:pStyle w:val="TableParagraph"/>
              <w:rPr>
                <w:sz w:val="22"/>
              </w:rPr>
            </w:pPr>
            <w:r>
              <w:rPr>
                <w:sz w:val="22"/>
              </w:rPr>
              <w:t>Collaborer avec la personne de soutien en vue de comprendre et de consigner les besoins en matière d’adaptation et y répondre tout au long des soins du patient; faire preuve de patience et de souplesse</w:t>
            </w:r>
          </w:p>
        </w:tc>
      </w:tr>
    </w:tbl>
    <w:p>
      <w:pPr>
        <w:pStyle w:val="BodyText"/>
        <w:ind w:left="0"/>
        <w:rPr>
          <w:sz w:val="20"/>
        </w:rPr>
      </w:pPr>
    </w:p>
    <w:p>
      <w:pPr>
        <w:pStyle w:val="Heading1"/>
        <w:spacing w:before="209"/>
      </w:pPr>
      <w:r>
        <w:rPr/>
        <w:t>Pourquoi est-ce important?</w:t>
      </w:r>
    </w:p>
    <w:p>
      <w:pPr>
        <w:pStyle w:val="ListParagraph"/>
        <w:numPr>
          <w:ilvl w:val="0"/>
          <w:numId w:val="1"/>
        </w:numPr>
        <w:tabs>
          <w:tab w:pos="835" w:val="left" w:leader="none"/>
          <w:tab w:pos="836" w:val="left" w:leader="none"/>
        </w:tabs>
        <w:spacing w:line="254" w:lineRule="auto" w:before="178" w:after="0"/>
        <w:ind w:left="836" w:right="281" w:hanging="361"/>
        <w:jc w:val="left"/>
        <w:rPr>
          <w:sz w:val="22"/>
        </w:rPr>
      </w:pPr>
      <w:r>
        <w:rPr>
          <w:sz w:val="22"/>
        </w:rPr>
        <w:t>Permettre aux personnes handicapées d’avoir accès à leur personne de soutien au moment d’arriver</w:t>
      </w:r>
      <w:r>
        <w:rPr>
          <w:spacing w:val="-4"/>
          <w:sz w:val="22"/>
        </w:rPr>
        <w:t> </w:t>
      </w:r>
      <w:r>
        <w:rPr>
          <w:sz w:val="22"/>
        </w:rPr>
        <w:t>et</w:t>
      </w:r>
      <w:r>
        <w:rPr>
          <w:spacing w:val="-2"/>
          <w:sz w:val="22"/>
        </w:rPr>
        <w:t> </w:t>
      </w:r>
      <w:r>
        <w:rPr>
          <w:sz w:val="22"/>
        </w:rPr>
        <w:t>de</w:t>
      </w:r>
      <w:r>
        <w:rPr>
          <w:spacing w:val="-8"/>
          <w:sz w:val="22"/>
        </w:rPr>
        <w:t> </w:t>
      </w:r>
      <w:r>
        <w:rPr>
          <w:sz w:val="22"/>
        </w:rPr>
        <w:t>rester</w:t>
      </w:r>
      <w:r>
        <w:rPr>
          <w:spacing w:val="-4"/>
          <w:sz w:val="22"/>
        </w:rPr>
        <w:t> </w:t>
      </w:r>
      <w:r>
        <w:rPr>
          <w:sz w:val="22"/>
        </w:rPr>
        <w:t>sur</w:t>
      </w:r>
      <w:r>
        <w:rPr>
          <w:spacing w:val="-3"/>
          <w:sz w:val="22"/>
        </w:rPr>
        <w:t> </w:t>
      </w:r>
      <w:r>
        <w:rPr>
          <w:sz w:val="22"/>
        </w:rPr>
        <w:t>les</w:t>
      </w:r>
      <w:r>
        <w:rPr>
          <w:spacing w:val="-6"/>
          <w:sz w:val="22"/>
        </w:rPr>
        <w:t> </w:t>
      </w:r>
      <w:r>
        <w:rPr>
          <w:sz w:val="22"/>
        </w:rPr>
        <w:t>lieux</w:t>
      </w:r>
      <w:r>
        <w:rPr>
          <w:spacing w:val="-1"/>
          <w:sz w:val="22"/>
        </w:rPr>
        <w:t> </w:t>
      </w:r>
      <w:r>
        <w:rPr>
          <w:sz w:val="22"/>
        </w:rPr>
        <w:t>de</w:t>
      </w:r>
      <w:r>
        <w:rPr>
          <w:spacing w:val="-3"/>
          <w:sz w:val="22"/>
        </w:rPr>
        <w:t> </w:t>
      </w:r>
      <w:r>
        <w:rPr>
          <w:sz w:val="22"/>
        </w:rPr>
        <w:t>l’hôpital </w:t>
      </w:r>
      <w:r>
        <w:rPr>
          <w:spacing w:val="-3"/>
          <w:sz w:val="22"/>
        </w:rPr>
        <w:t>pour</w:t>
      </w:r>
      <w:r>
        <w:rPr>
          <w:spacing w:val="-4"/>
          <w:sz w:val="22"/>
        </w:rPr>
        <w:t> </w:t>
      </w:r>
      <w:r>
        <w:rPr>
          <w:sz w:val="22"/>
        </w:rPr>
        <w:t>y</w:t>
      </w:r>
      <w:r>
        <w:rPr>
          <w:spacing w:val="-1"/>
          <w:sz w:val="22"/>
        </w:rPr>
        <w:t> </w:t>
      </w:r>
      <w:r>
        <w:rPr>
          <w:sz w:val="22"/>
        </w:rPr>
        <w:t>recevoir</w:t>
      </w:r>
      <w:r>
        <w:rPr>
          <w:spacing w:val="1"/>
          <w:sz w:val="22"/>
        </w:rPr>
        <w:t> </w:t>
      </w:r>
      <w:r>
        <w:rPr>
          <w:sz w:val="22"/>
        </w:rPr>
        <w:t>des</w:t>
      </w:r>
      <w:r>
        <w:rPr>
          <w:spacing w:val="-6"/>
          <w:sz w:val="22"/>
        </w:rPr>
        <w:t> </w:t>
      </w:r>
      <w:r>
        <w:rPr>
          <w:sz w:val="22"/>
        </w:rPr>
        <w:t>soins</w:t>
      </w:r>
      <w:r>
        <w:rPr>
          <w:spacing w:val="-1"/>
          <w:sz w:val="22"/>
        </w:rPr>
        <w:t> </w:t>
      </w:r>
      <w:r>
        <w:rPr>
          <w:sz w:val="22"/>
        </w:rPr>
        <w:t>est</w:t>
      </w:r>
      <w:r>
        <w:rPr>
          <w:spacing w:val="-2"/>
          <w:sz w:val="22"/>
        </w:rPr>
        <w:t> </w:t>
      </w:r>
      <w:r>
        <w:rPr>
          <w:sz w:val="22"/>
        </w:rPr>
        <w:t>obligatoire</w:t>
      </w:r>
      <w:r>
        <w:rPr>
          <w:spacing w:val="-3"/>
          <w:sz w:val="22"/>
        </w:rPr>
        <w:t> </w:t>
      </w:r>
      <w:r>
        <w:rPr>
          <w:sz w:val="22"/>
        </w:rPr>
        <w:t>en</w:t>
      </w:r>
      <w:r>
        <w:rPr>
          <w:spacing w:val="-2"/>
          <w:sz w:val="22"/>
        </w:rPr>
        <w:t> </w:t>
      </w:r>
      <w:r>
        <w:rPr>
          <w:sz w:val="22"/>
        </w:rPr>
        <w:t>vertu de la </w:t>
      </w:r>
      <w:r>
        <w:rPr>
          <w:i/>
          <w:sz w:val="22"/>
        </w:rPr>
        <w:t>Loi sur l’accessibilité pour les personnes handicapées de</w:t>
      </w:r>
      <w:r>
        <w:rPr>
          <w:i/>
          <w:spacing w:val="-11"/>
          <w:sz w:val="22"/>
        </w:rPr>
        <w:t> </w:t>
      </w:r>
      <w:r>
        <w:rPr>
          <w:i/>
          <w:sz w:val="22"/>
        </w:rPr>
        <w:t>l’Ontario</w:t>
      </w:r>
      <w:r>
        <w:rPr>
          <w:sz w:val="22"/>
        </w:rPr>
        <w:t>.</w:t>
      </w:r>
    </w:p>
    <w:p>
      <w:pPr>
        <w:pStyle w:val="ListParagraph"/>
        <w:numPr>
          <w:ilvl w:val="0"/>
          <w:numId w:val="1"/>
        </w:numPr>
        <w:tabs>
          <w:tab w:pos="835" w:val="left" w:leader="none"/>
          <w:tab w:pos="836" w:val="left" w:leader="none"/>
        </w:tabs>
        <w:spacing w:line="254" w:lineRule="auto" w:before="3" w:after="0"/>
        <w:ind w:left="836" w:right="671" w:hanging="361"/>
        <w:jc w:val="left"/>
        <w:rPr>
          <w:sz w:val="22"/>
        </w:rPr>
      </w:pPr>
      <w:r>
        <w:rPr>
          <w:sz w:val="22"/>
        </w:rPr>
        <w:t>Ce</w:t>
      </w:r>
      <w:r>
        <w:rPr>
          <w:spacing w:val="-6"/>
          <w:sz w:val="22"/>
        </w:rPr>
        <w:t> </w:t>
      </w:r>
      <w:r>
        <w:rPr>
          <w:sz w:val="22"/>
        </w:rPr>
        <w:t>n’est pas</w:t>
      </w:r>
      <w:r>
        <w:rPr>
          <w:spacing w:val="-4"/>
          <w:sz w:val="22"/>
        </w:rPr>
        <w:t> </w:t>
      </w:r>
      <w:r>
        <w:rPr>
          <w:sz w:val="22"/>
        </w:rPr>
        <w:t>uniquement</w:t>
      </w:r>
      <w:r>
        <w:rPr>
          <w:spacing w:val="-5"/>
          <w:sz w:val="22"/>
        </w:rPr>
        <w:t> </w:t>
      </w:r>
      <w:r>
        <w:rPr>
          <w:sz w:val="22"/>
        </w:rPr>
        <w:t>une</w:t>
      </w:r>
      <w:r>
        <w:rPr>
          <w:spacing w:val="-1"/>
          <w:sz w:val="22"/>
        </w:rPr>
        <w:t> </w:t>
      </w:r>
      <w:r>
        <w:rPr>
          <w:sz w:val="22"/>
        </w:rPr>
        <w:t>question</w:t>
      </w:r>
      <w:r>
        <w:rPr>
          <w:spacing w:val="-2"/>
          <w:sz w:val="22"/>
        </w:rPr>
        <w:t> </w:t>
      </w:r>
      <w:r>
        <w:rPr>
          <w:sz w:val="22"/>
        </w:rPr>
        <w:t>de</w:t>
      </w:r>
      <w:r>
        <w:rPr>
          <w:spacing w:val="-5"/>
          <w:sz w:val="22"/>
        </w:rPr>
        <w:t> </w:t>
      </w:r>
      <w:r>
        <w:rPr>
          <w:sz w:val="22"/>
        </w:rPr>
        <w:t>conformité</w:t>
      </w:r>
      <w:r>
        <w:rPr>
          <w:spacing w:val="-6"/>
          <w:sz w:val="22"/>
        </w:rPr>
        <w:t> </w:t>
      </w:r>
      <w:r>
        <w:rPr>
          <w:sz w:val="22"/>
        </w:rPr>
        <w:t>à</w:t>
      </w:r>
      <w:r>
        <w:rPr>
          <w:spacing w:val="-6"/>
          <w:sz w:val="22"/>
        </w:rPr>
        <w:t> </w:t>
      </w:r>
      <w:r>
        <w:rPr>
          <w:spacing w:val="2"/>
          <w:sz w:val="22"/>
        </w:rPr>
        <w:t>la</w:t>
      </w:r>
      <w:r>
        <w:rPr>
          <w:spacing w:val="-6"/>
          <w:sz w:val="22"/>
        </w:rPr>
        <w:t> </w:t>
      </w:r>
      <w:r>
        <w:rPr>
          <w:sz w:val="22"/>
        </w:rPr>
        <w:t>loi,</w:t>
      </w:r>
      <w:r>
        <w:rPr>
          <w:spacing w:val="-5"/>
          <w:sz w:val="22"/>
        </w:rPr>
        <w:t> </w:t>
      </w:r>
      <w:r>
        <w:rPr>
          <w:sz w:val="22"/>
        </w:rPr>
        <w:t>c’est</w:t>
      </w:r>
      <w:r>
        <w:rPr>
          <w:spacing w:val="-5"/>
          <w:sz w:val="22"/>
        </w:rPr>
        <w:t> </w:t>
      </w:r>
      <w:r>
        <w:rPr>
          <w:sz w:val="22"/>
        </w:rPr>
        <w:t>la</w:t>
      </w:r>
      <w:r>
        <w:rPr>
          <w:spacing w:val="-1"/>
          <w:sz w:val="22"/>
        </w:rPr>
        <w:t> </w:t>
      </w:r>
      <w:r>
        <w:rPr>
          <w:sz w:val="22"/>
        </w:rPr>
        <w:t>bonne</w:t>
      </w:r>
      <w:r>
        <w:rPr>
          <w:spacing w:val="-6"/>
          <w:sz w:val="22"/>
        </w:rPr>
        <w:t> </w:t>
      </w:r>
      <w:r>
        <w:rPr>
          <w:sz w:val="22"/>
        </w:rPr>
        <w:t>chose</w:t>
      </w:r>
      <w:r>
        <w:rPr>
          <w:spacing w:val="-1"/>
          <w:sz w:val="22"/>
        </w:rPr>
        <w:t> </w:t>
      </w:r>
      <w:r>
        <w:rPr>
          <w:sz w:val="22"/>
        </w:rPr>
        <w:t>à</w:t>
      </w:r>
      <w:r>
        <w:rPr>
          <w:spacing w:val="-1"/>
          <w:sz w:val="22"/>
        </w:rPr>
        <w:t> </w:t>
      </w:r>
      <w:r>
        <w:rPr>
          <w:sz w:val="22"/>
        </w:rPr>
        <w:t>faire. Appuyer l’accessibilité favorise l’équité et</w:t>
      </w:r>
      <w:r>
        <w:rPr>
          <w:spacing w:val="-13"/>
          <w:sz w:val="22"/>
        </w:rPr>
        <w:t> </w:t>
      </w:r>
      <w:r>
        <w:rPr>
          <w:sz w:val="22"/>
        </w:rPr>
        <w:t>l’inclusion.</w:t>
      </w:r>
    </w:p>
    <w:p>
      <w:pPr>
        <w:pStyle w:val="ListParagraph"/>
        <w:numPr>
          <w:ilvl w:val="0"/>
          <w:numId w:val="1"/>
        </w:numPr>
        <w:tabs>
          <w:tab w:pos="835" w:val="left" w:leader="none"/>
          <w:tab w:pos="836" w:val="left" w:leader="none"/>
        </w:tabs>
        <w:spacing w:line="254" w:lineRule="auto" w:before="1" w:after="0"/>
        <w:ind w:left="836" w:right="277" w:hanging="361"/>
        <w:jc w:val="left"/>
        <w:rPr>
          <w:sz w:val="22"/>
        </w:rPr>
      </w:pPr>
      <w:r>
        <w:rPr>
          <w:sz w:val="22"/>
        </w:rPr>
        <w:t>La</w:t>
      </w:r>
      <w:r>
        <w:rPr>
          <w:spacing w:val="-3"/>
          <w:sz w:val="22"/>
        </w:rPr>
        <w:t> </w:t>
      </w:r>
      <w:r>
        <w:rPr>
          <w:sz w:val="22"/>
        </w:rPr>
        <w:t>participation</w:t>
      </w:r>
      <w:r>
        <w:rPr>
          <w:spacing w:val="-3"/>
          <w:sz w:val="22"/>
        </w:rPr>
        <w:t> </w:t>
      </w:r>
      <w:r>
        <w:rPr>
          <w:sz w:val="22"/>
        </w:rPr>
        <w:t>des</w:t>
      </w:r>
      <w:r>
        <w:rPr>
          <w:spacing w:val="-6"/>
          <w:sz w:val="22"/>
        </w:rPr>
        <w:t> </w:t>
      </w:r>
      <w:r>
        <w:rPr>
          <w:sz w:val="22"/>
        </w:rPr>
        <w:t>personnes</w:t>
      </w:r>
      <w:r>
        <w:rPr>
          <w:spacing w:val="-1"/>
          <w:sz w:val="22"/>
        </w:rPr>
        <w:t> </w:t>
      </w:r>
      <w:r>
        <w:rPr>
          <w:sz w:val="22"/>
        </w:rPr>
        <w:t>de</w:t>
      </w:r>
      <w:r>
        <w:rPr>
          <w:spacing w:val="-3"/>
          <w:sz w:val="22"/>
        </w:rPr>
        <w:t> </w:t>
      </w:r>
      <w:r>
        <w:rPr>
          <w:sz w:val="22"/>
        </w:rPr>
        <w:t>soutien</w:t>
      </w:r>
      <w:r>
        <w:rPr>
          <w:spacing w:val="-7"/>
          <w:sz w:val="22"/>
        </w:rPr>
        <w:t> </w:t>
      </w:r>
      <w:r>
        <w:rPr>
          <w:sz w:val="22"/>
        </w:rPr>
        <w:t>aide</w:t>
      </w:r>
      <w:r>
        <w:rPr>
          <w:spacing w:val="-3"/>
          <w:sz w:val="22"/>
        </w:rPr>
        <w:t> </w:t>
      </w:r>
      <w:r>
        <w:rPr>
          <w:sz w:val="22"/>
        </w:rPr>
        <w:t>à</w:t>
      </w:r>
      <w:r>
        <w:rPr>
          <w:spacing w:val="-8"/>
          <w:sz w:val="22"/>
        </w:rPr>
        <w:t> </w:t>
      </w:r>
      <w:r>
        <w:rPr>
          <w:sz w:val="22"/>
        </w:rPr>
        <w:t>améliorer</w:t>
      </w:r>
      <w:r>
        <w:rPr>
          <w:spacing w:val="-4"/>
          <w:sz w:val="22"/>
        </w:rPr>
        <w:t> </w:t>
      </w:r>
      <w:r>
        <w:rPr>
          <w:sz w:val="22"/>
        </w:rPr>
        <w:t>la</w:t>
      </w:r>
      <w:r>
        <w:rPr>
          <w:spacing w:val="-7"/>
          <w:sz w:val="22"/>
        </w:rPr>
        <w:t> </w:t>
      </w:r>
      <w:r>
        <w:rPr>
          <w:sz w:val="22"/>
        </w:rPr>
        <w:t>sécurité,</w:t>
      </w:r>
      <w:r>
        <w:rPr>
          <w:spacing w:val="-7"/>
          <w:sz w:val="22"/>
        </w:rPr>
        <w:t> </w:t>
      </w:r>
      <w:r>
        <w:rPr>
          <w:sz w:val="22"/>
        </w:rPr>
        <w:t>l’expérience</w:t>
      </w:r>
      <w:r>
        <w:rPr>
          <w:spacing w:val="-3"/>
          <w:sz w:val="22"/>
        </w:rPr>
        <w:t> </w:t>
      </w:r>
      <w:r>
        <w:rPr>
          <w:sz w:val="22"/>
        </w:rPr>
        <w:t>du</w:t>
      </w:r>
      <w:r>
        <w:rPr>
          <w:spacing w:val="-2"/>
          <w:sz w:val="22"/>
        </w:rPr>
        <w:t> </w:t>
      </w:r>
      <w:r>
        <w:rPr>
          <w:sz w:val="22"/>
        </w:rPr>
        <w:t>patient et la clarté durant l’admission, </w:t>
      </w:r>
      <w:r>
        <w:rPr>
          <w:spacing w:val="2"/>
          <w:sz w:val="22"/>
        </w:rPr>
        <w:t>la </w:t>
      </w:r>
      <w:r>
        <w:rPr>
          <w:sz w:val="22"/>
        </w:rPr>
        <w:t>planification du traitement et l’obtention du</w:t>
      </w:r>
      <w:r>
        <w:rPr>
          <w:spacing w:val="-37"/>
          <w:sz w:val="22"/>
        </w:rPr>
        <w:t> </w:t>
      </w:r>
      <w:r>
        <w:rPr>
          <w:sz w:val="22"/>
        </w:rPr>
        <w:t>congé.</w:t>
      </w:r>
    </w:p>
    <w:p>
      <w:pPr>
        <w:pStyle w:val="ListParagraph"/>
        <w:numPr>
          <w:ilvl w:val="0"/>
          <w:numId w:val="1"/>
        </w:numPr>
        <w:tabs>
          <w:tab w:pos="835" w:val="left" w:leader="none"/>
          <w:tab w:pos="836" w:val="left" w:leader="none"/>
        </w:tabs>
        <w:spacing w:line="254" w:lineRule="auto" w:before="1" w:after="0"/>
        <w:ind w:left="836" w:right="130" w:hanging="361"/>
        <w:jc w:val="left"/>
        <w:rPr>
          <w:sz w:val="22"/>
        </w:rPr>
      </w:pPr>
      <w:r>
        <w:rPr>
          <w:sz w:val="22"/>
        </w:rPr>
        <w:t>La présence de personnes de soutien permet de réduire les erreurs et la mauvaise communication pendant les soins, facilite l’orientation au sein des processus hospitaliers et contribue</w:t>
      </w:r>
      <w:r>
        <w:rPr>
          <w:spacing w:val="-2"/>
          <w:sz w:val="22"/>
        </w:rPr>
        <w:t> </w:t>
      </w:r>
      <w:r>
        <w:rPr>
          <w:sz w:val="22"/>
        </w:rPr>
        <w:t>à</w:t>
      </w:r>
      <w:r>
        <w:rPr>
          <w:spacing w:val="-6"/>
          <w:sz w:val="22"/>
        </w:rPr>
        <w:t> </w:t>
      </w:r>
      <w:r>
        <w:rPr>
          <w:sz w:val="22"/>
        </w:rPr>
        <w:t>l’application</w:t>
      </w:r>
      <w:r>
        <w:rPr>
          <w:spacing w:val="-5"/>
          <w:sz w:val="22"/>
        </w:rPr>
        <w:t> </w:t>
      </w:r>
      <w:r>
        <w:rPr>
          <w:sz w:val="22"/>
        </w:rPr>
        <w:t>cohérente</w:t>
      </w:r>
      <w:r>
        <w:rPr>
          <w:spacing w:val="-6"/>
          <w:sz w:val="22"/>
        </w:rPr>
        <w:t> </w:t>
      </w:r>
      <w:r>
        <w:rPr>
          <w:sz w:val="22"/>
        </w:rPr>
        <w:t>des</w:t>
      </w:r>
      <w:r>
        <w:rPr>
          <w:spacing w:val="-4"/>
          <w:sz w:val="22"/>
        </w:rPr>
        <w:t> </w:t>
      </w:r>
      <w:r>
        <w:rPr>
          <w:sz w:val="22"/>
        </w:rPr>
        <w:t>mesures d’adaptation</w:t>
      </w:r>
      <w:r>
        <w:rPr>
          <w:spacing w:val="-6"/>
          <w:sz w:val="22"/>
        </w:rPr>
        <w:t> </w:t>
      </w:r>
      <w:r>
        <w:rPr>
          <w:sz w:val="22"/>
        </w:rPr>
        <w:t>tout</w:t>
      </w:r>
      <w:r>
        <w:rPr>
          <w:spacing w:val="-5"/>
          <w:sz w:val="22"/>
        </w:rPr>
        <w:t> </w:t>
      </w:r>
      <w:r>
        <w:rPr>
          <w:sz w:val="22"/>
        </w:rPr>
        <w:t>au</w:t>
      </w:r>
      <w:r>
        <w:rPr>
          <w:spacing w:val="-5"/>
          <w:sz w:val="22"/>
        </w:rPr>
        <w:t> </w:t>
      </w:r>
      <w:r>
        <w:rPr>
          <w:sz w:val="22"/>
        </w:rPr>
        <w:t>long</w:t>
      </w:r>
      <w:r>
        <w:rPr>
          <w:spacing w:val="-2"/>
          <w:sz w:val="22"/>
        </w:rPr>
        <w:t> </w:t>
      </w:r>
      <w:r>
        <w:rPr>
          <w:sz w:val="22"/>
        </w:rPr>
        <w:t>du</w:t>
      </w:r>
      <w:r>
        <w:rPr>
          <w:spacing w:val="-1"/>
          <w:sz w:val="22"/>
        </w:rPr>
        <w:t> </w:t>
      </w:r>
      <w:r>
        <w:rPr>
          <w:sz w:val="22"/>
        </w:rPr>
        <w:t>parcours</w:t>
      </w:r>
      <w:r>
        <w:rPr>
          <w:spacing w:val="1"/>
          <w:sz w:val="22"/>
        </w:rPr>
        <w:t> </w:t>
      </w:r>
      <w:r>
        <w:rPr>
          <w:sz w:val="22"/>
        </w:rPr>
        <w:t>en</w:t>
      </w:r>
      <w:r>
        <w:rPr>
          <w:spacing w:val="-6"/>
          <w:sz w:val="22"/>
        </w:rPr>
        <w:t> </w:t>
      </w:r>
      <w:r>
        <w:rPr>
          <w:sz w:val="22"/>
        </w:rPr>
        <w:t>soins de</w:t>
      </w:r>
      <w:r>
        <w:rPr>
          <w:spacing w:val="-5"/>
          <w:sz w:val="22"/>
        </w:rPr>
        <w:t> </w:t>
      </w:r>
      <w:r>
        <w:rPr>
          <w:sz w:val="22"/>
        </w:rPr>
        <w:t>santé.</w:t>
      </w:r>
    </w:p>
    <w:p>
      <w:pPr>
        <w:pStyle w:val="BodyText"/>
        <w:ind w:left="0"/>
        <w:rPr>
          <w:sz w:val="24"/>
        </w:rPr>
      </w:pPr>
    </w:p>
    <w:p>
      <w:pPr>
        <w:pStyle w:val="Heading1"/>
      </w:pPr>
      <w:r>
        <w:rPr/>
        <w:t>Transformer les stratégies en résultats pour améliorer les soins aux patients</w:t>
      </w:r>
    </w:p>
    <w:p>
      <w:pPr>
        <w:pStyle w:val="BodyText"/>
        <w:spacing w:line="256" w:lineRule="auto" w:before="177"/>
        <w:ind w:right="147"/>
      </w:pPr>
      <w:r>
        <w:rPr/>
        <w:t>Quand les hôpitaux s’attaquent aux défis en matière d’accessibilité liés aux personnes de soutien, ils franchissent un pas important vers la suppression des obstacles et la garantie d’un accès équitable pour les patients. La mise en œuvre efficace se reflète dans les interactions quotidiennes, lorsque les patients et leurs personnes de soutien peuvent communiquer clairement avec les fournisseurs, participer aux discussions concernant les soins sans obstacle, et prendre part aux processus d’admission, de traitement et d’obtention de congé en bénéficiant des mesures d’adaptation en place.</w:t>
      </w:r>
    </w:p>
    <w:p>
      <w:pPr>
        <w:spacing w:after="0" w:line="256" w:lineRule="auto"/>
        <w:sectPr>
          <w:pgSz w:w="12240" w:h="15840"/>
          <w:pgMar w:header="0" w:footer="1261" w:top="900" w:bottom="1460" w:left="1020" w:right="1020"/>
        </w:sectPr>
      </w:pPr>
    </w:p>
    <w:p>
      <w:pPr>
        <w:pStyle w:val="BodyText"/>
        <w:spacing w:line="256" w:lineRule="auto" w:before="69"/>
      </w:pPr>
      <w:r>
        <w:rPr/>
        <w:t>La consignation claire des besoins en matière d’accessibilité, la mise en œuvre de mesures d’adaptation en temps opportun et l’amélioration de l’expérience du patient témoignent des progrès réalisés vers la création d’un milieu des soins de santé plus inclusif.</w:t>
      </w:r>
    </w:p>
    <w:p>
      <w:pPr>
        <w:pStyle w:val="BodyText"/>
        <w:spacing w:line="256" w:lineRule="auto" w:before="158"/>
      </w:pPr>
      <w:r>
        <w:rPr/>
        <w:t>Les hôpitaux peuvent évaluer leurs progrès par l’intégration de stratégies relatives aux personnes de soutien dans les politiques et les plans pluriannuels d’accessibilité. Les progrès peuvent être mesurés en écoutant et en recueillant la rétroaction des personnes handicapées et celle de leurs personnes de soutien, et en vérifiant si elles sont confrontées à moins d’obstacles au fil du temps. Chaque voix compte en vue de créer un milieu de soins de santé plus inclusif.</w:t>
      </w:r>
    </w:p>
    <w:p>
      <w:pPr>
        <w:pStyle w:val="BodyText"/>
        <w:ind w:left="0"/>
        <w:rPr>
          <w:sz w:val="24"/>
        </w:rPr>
      </w:pPr>
    </w:p>
    <w:p>
      <w:pPr>
        <w:pStyle w:val="BodyText"/>
        <w:spacing w:before="1"/>
        <w:ind w:left="0"/>
        <w:rPr>
          <w:sz w:val="27"/>
        </w:rPr>
      </w:pPr>
    </w:p>
    <w:p>
      <w:pPr>
        <w:spacing w:line="256" w:lineRule="auto" w:before="0"/>
        <w:ind w:left="115" w:right="88" w:firstLine="0"/>
        <w:jc w:val="left"/>
        <w:rPr>
          <w:sz w:val="22"/>
        </w:rPr>
      </w:pPr>
      <w:r>
        <w:rPr>
          <w:b/>
          <w:sz w:val="22"/>
        </w:rPr>
        <w:t>Remarque : </w:t>
      </w:r>
      <w:r>
        <w:rPr>
          <w:sz w:val="22"/>
        </w:rPr>
        <w:t>L’information fournie dans le présent document d’orientation a seulement pour objectif de présenter des renseignements généraux et ne remplace pas le recours à un conseiller juridique ou à un autre expert en la matière. Les hôpitaux sont tenus de veiller au respect de la </w:t>
      </w:r>
      <w:r>
        <w:rPr>
          <w:i/>
          <w:sz w:val="22"/>
        </w:rPr>
        <w:t>Loi sur l’accessibilité </w:t>
      </w:r>
      <w:r>
        <w:rPr>
          <w:i/>
          <w:sz w:val="22"/>
        </w:rPr>
        <w:t>pour les personnes handicapées de l’Ontario </w:t>
      </w:r>
      <w:r>
        <w:rPr>
          <w:sz w:val="22"/>
        </w:rPr>
        <w:t>et de toutes les autres lois applicables.</w:t>
      </w:r>
    </w:p>
    <w:p>
      <w:pPr>
        <w:pStyle w:val="BodyText"/>
        <w:spacing w:line="247" w:lineRule="auto" w:before="157"/>
        <w:ind w:right="579"/>
        <w:rPr>
          <w:rFonts w:ascii="Maiandra GD" w:hAnsi="Maiandra GD"/>
        </w:rPr>
      </w:pPr>
      <w:r>
        <w:rPr/>
        <w:t>Pour en </w:t>
      </w:r>
      <w:r>
        <w:rPr>
          <w:b/>
        </w:rPr>
        <w:t>savoir plus </w:t>
      </w:r>
      <w:r>
        <w:rPr/>
        <w:t>sur les lois en matière d’accessibilité, les normes et les ressources, veuillez consulter</w:t>
      </w:r>
      <w:hyperlink r:id="rId10">
        <w:r>
          <w:rPr>
            <w:color w:val="467885"/>
            <w:u w:val="single" w:color="467885"/>
          </w:rPr>
          <w:t> https://www.ontario.ca/fr/page/accessibilite-en-ontario</w:t>
        </w:r>
      </w:hyperlink>
      <w:r>
        <w:rPr>
          <w:rFonts w:ascii="Maiandra GD" w:hAnsi="Maiandra GD"/>
        </w:rPr>
        <w:t>.</w:t>
      </w:r>
    </w:p>
    <w:p>
      <w:pPr>
        <w:pStyle w:val="BodyText"/>
        <w:spacing w:line="256" w:lineRule="auto" w:before="183"/>
        <w:ind w:right="185"/>
      </w:pPr>
      <w:r>
        <w:rPr/>
        <w:t>Ce document d’orientation a été élaboré par le ministère des Services aux aînés et de l’Accessibilité en consultation avec l’Ontario Hospital Association.</w:t>
      </w:r>
    </w:p>
    <w:sectPr>
      <w:pgSz w:w="12240" w:h="15840"/>
      <w:pgMar w:header="0" w:footer="1261" w:top="840" w:bottom="146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 w:name="Tahoma">
    <w:altName w:val="Tahoma"/>
    <w:charset w:val="0"/>
    <w:family w:val="swiss"/>
    <w:pitch w:val="variable"/>
  </w:font>
  <w:font w:name="Maiandra GD">
    <w:altName w:val="Maiandra GD"/>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line style="position:absolute;mso-position-horizontal-relative:page;mso-position-vertical-relative:page;z-index:-251817984" from="55.275002pt,716.099976pt" to="556.975002pt,716.099976pt" stroked="true" strokeweight="2.25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55.775002pt;margin-top:717.195007pt;width:260.3500pt;height:16.1pt;mso-position-horizontal-relative:page;mso-position-vertical-relative:page;z-index:-251816960" type="#_x0000_t202" filled="false" stroked="false">
          <v:textbox inset="0,0,0,0">
            <w:txbxContent>
              <w:p>
                <w:pPr>
                  <w:spacing w:before="5"/>
                  <w:ind w:left="20" w:right="0" w:firstLine="0"/>
                  <w:jc w:val="left"/>
                  <w:rPr>
                    <w:rFonts w:ascii="Tahoma"/>
                    <w:b/>
                    <w:sz w:val="24"/>
                  </w:rPr>
                </w:pPr>
                <w:hyperlink r:id="rId1">
                  <w:r>
                    <w:rPr>
                      <w:rFonts w:ascii="Tahoma"/>
                      <w:b/>
                      <w:w w:val="95"/>
                      <w:sz w:val="24"/>
                    </w:rPr>
                    <w:t>ontario.ca/fr/page/accessibilite-en-ontario</w:t>
                  </w:r>
                </w:hyperlink>
              </w:p>
            </w:txbxContent>
          </v:textbox>
          <w10:wrap type="none"/>
        </v:shape>
      </w:pict>
    </w:r>
    <w:r>
      <w:rPr/>
      <w:pict>
        <v:shape style="position:absolute;margin-left:489.200012pt;margin-top:717.195007pt;width:67.1pt;height:16.1pt;mso-position-horizontal-relative:page;mso-position-vertical-relative:page;z-index:-251815936" type="#_x0000_t202" filled="false" stroked="false">
          <v:textbox inset="0,0,0,0">
            <w:txbxContent>
              <w:p>
                <w:pPr>
                  <w:spacing w:before="20"/>
                  <w:ind w:left="20" w:right="0" w:firstLine="0"/>
                  <w:jc w:val="left"/>
                  <w:rPr>
                    <w:rFonts w:ascii="Trebuchet MS"/>
                    <w:sz w:val="24"/>
                  </w:rPr>
                </w:pPr>
                <w:r>
                  <w:rPr>
                    <w:rFonts w:ascii="Trebuchet MS"/>
                    <w:w w:val="110"/>
                    <w:sz w:val="24"/>
                  </w:rPr>
                  <w:t>Page</w:t>
                </w:r>
                <w:r>
                  <w:rPr>
                    <w:rFonts w:ascii="Trebuchet MS"/>
                    <w:spacing w:val="-23"/>
                    <w:w w:val="110"/>
                    <w:sz w:val="24"/>
                  </w:rPr>
                  <w:t> </w:t>
                </w:r>
                <w:r>
                  <w:rPr/>
                  <w:fldChar w:fldCharType="begin"/>
                </w:r>
                <w:r>
                  <w:rPr>
                    <w:rFonts w:ascii="Trebuchet MS"/>
                    <w:w w:val="110"/>
                    <w:sz w:val="24"/>
                  </w:rPr>
                  <w:instrText> PAGE </w:instrText>
                </w:r>
                <w:r>
                  <w:rPr/>
                  <w:fldChar w:fldCharType="separate"/>
                </w:r>
                <w:r>
                  <w:rPr/>
                  <w:t>4</w:t>
                </w:r>
                <w:r>
                  <w:rPr/>
                  <w:fldChar w:fldCharType="end"/>
                </w:r>
                <w:r>
                  <w:rPr>
                    <w:rFonts w:ascii="Trebuchet MS"/>
                    <w:spacing w:val="-24"/>
                    <w:w w:val="110"/>
                    <w:sz w:val="24"/>
                  </w:rPr>
                  <w:t> </w:t>
                </w:r>
                <w:r>
                  <w:rPr>
                    <w:rFonts w:ascii="Trebuchet MS"/>
                    <w:w w:val="110"/>
                    <w:sz w:val="24"/>
                  </w:rPr>
                  <w:t>de</w:t>
                </w:r>
                <w:r>
                  <w:rPr>
                    <w:rFonts w:ascii="Trebuchet MS"/>
                    <w:spacing w:val="-24"/>
                    <w:w w:val="110"/>
                    <w:sz w:val="24"/>
                  </w:rPr>
                  <w:t> </w:t>
                </w:r>
                <w:r>
                  <w:rPr>
                    <w:rFonts w:ascii="Trebuchet MS"/>
                    <w:w w:val="110"/>
                    <w:sz w:val="24"/>
                  </w:rPr>
                  <w:t>4</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36" w:hanging="361"/>
      </w:pPr>
      <w:rPr>
        <w:rFonts w:hint="default" w:ascii="Symbol" w:hAnsi="Symbol" w:eastAsia="Symbol" w:cs="Symbol"/>
        <w:w w:val="100"/>
        <w:sz w:val="22"/>
        <w:szCs w:val="22"/>
        <w:lang w:val="en-US" w:eastAsia="en-US" w:bidi="en-US"/>
      </w:rPr>
    </w:lvl>
    <w:lvl w:ilvl="1">
      <w:start w:val="0"/>
      <w:numFmt w:val="bullet"/>
      <w:lvlText w:val="•"/>
      <w:lvlJc w:val="left"/>
      <w:pPr>
        <w:ind w:left="1776" w:hanging="361"/>
      </w:pPr>
      <w:rPr>
        <w:rFonts w:hint="default"/>
        <w:lang w:val="en-US" w:eastAsia="en-US" w:bidi="en-US"/>
      </w:rPr>
    </w:lvl>
    <w:lvl w:ilvl="2">
      <w:start w:val="0"/>
      <w:numFmt w:val="bullet"/>
      <w:lvlText w:val="•"/>
      <w:lvlJc w:val="left"/>
      <w:pPr>
        <w:ind w:left="2712" w:hanging="361"/>
      </w:pPr>
      <w:rPr>
        <w:rFonts w:hint="default"/>
        <w:lang w:val="en-US" w:eastAsia="en-US" w:bidi="en-US"/>
      </w:rPr>
    </w:lvl>
    <w:lvl w:ilvl="3">
      <w:start w:val="0"/>
      <w:numFmt w:val="bullet"/>
      <w:lvlText w:val="•"/>
      <w:lvlJc w:val="left"/>
      <w:pPr>
        <w:ind w:left="3648" w:hanging="361"/>
      </w:pPr>
      <w:rPr>
        <w:rFonts w:hint="default"/>
        <w:lang w:val="en-US" w:eastAsia="en-US" w:bidi="en-US"/>
      </w:rPr>
    </w:lvl>
    <w:lvl w:ilvl="4">
      <w:start w:val="0"/>
      <w:numFmt w:val="bullet"/>
      <w:lvlText w:val="•"/>
      <w:lvlJc w:val="left"/>
      <w:pPr>
        <w:ind w:left="4584" w:hanging="361"/>
      </w:pPr>
      <w:rPr>
        <w:rFonts w:hint="default"/>
        <w:lang w:val="en-US" w:eastAsia="en-US" w:bidi="en-US"/>
      </w:rPr>
    </w:lvl>
    <w:lvl w:ilvl="5">
      <w:start w:val="0"/>
      <w:numFmt w:val="bullet"/>
      <w:lvlText w:val="•"/>
      <w:lvlJc w:val="left"/>
      <w:pPr>
        <w:ind w:left="5520" w:hanging="361"/>
      </w:pPr>
      <w:rPr>
        <w:rFonts w:hint="default"/>
        <w:lang w:val="en-US" w:eastAsia="en-US" w:bidi="en-US"/>
      </w:rPr>
    </w:lvl>
    <w:lvl w:ilvl="6">
      <w:start w:val="0"/>
      <w:numFmt w:val="bullet"/>
      <w:lvlText w:val="•"/>
      <w:lvlJc w:val="left"/>
      <w:pPr>
        <w:ind w:left="6456" w:hanging="361"/>
      </w:pPr>
      <w:rPr>
        <w:rFonts w:hint="default"/>
        <w:lang w:val="en-US" w:eastAsia="en-US" w:bidi="en-US"/>
      </w:rPr>
    </w:lvl>
    <w:lvl w:ilvl="7">
      <w:start w:val="0"/>
      <w:numFmt w:val="bullet"/>
      <w:lvlText w:val="•"/>
      <w:lvlJc w:val="left"/>
      <w:pPr>
        <w:ind w:left="7392" w:hanging="361"/>
      </w:pPr>
      <w:rPr>
        <w:rFonts w:hint="default"/>
        <w:lang w:val="en-US" w:eastAsia="en-US" w:bidi="en-US"/>
      </w:rPr>
    </w:lvl>
    <w:lvl w:ilvl="8">
      <w:start w:val="0"/>
      <w:numFmt w:val="bullet"/>
      <w:lvlText w:val="•"/>
      <w:lvlJc w:val="left"/>
      <w:pPr>
        <w:ind w:left="8328" w:hanging="361"/>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ind w:left="115"/>
    </w:pPr>
    <w:rPr>
      <w:rFonts w:ascii="Arial" w:hAnsi="Arial" w:eastAsia="Arial" w:cs="Arial"/>
      <w:sz w:val="22"/>
      <w:szCs w:val="22"/>
      <w:lang w:val="en-US" w:eastAsia="en-US" w:bidi="en-US"/>
    </w:rPr>
  </w:style>
  <w:style w:styleId="Heading1" w:type="paragraph">
    <w:name w:val="Heading 1"/>
    <w:basedOn w:val="Normal"/>
    <w:uiPriority w:val="1"/>
    <w:qFormat/>
    <w:pPr>
      <w:ind w:left="115"/>
      <w:outlineLvl w:val="1"/>
    </w:pPr>
    <w:rPr>
      <w:rFonts w:ascii="Arial" w:hAnsi="Arial" w:eastAsia="Arial" w:cs="Arial"/>
      <w:b/>
      <w:bCs/>
      <w:sz w:val="22"/>
      <w:szCs w:val="22"/>
      <w:lang w:val="en-US" w:eastAsia="en-US" w:bidi="en-US"/>
    </w:rPr>
  </w:style>
  <w:style w:styleId="ListParagraph" w:type="paragraph">
    <w:name w:val="List Paragraph"/>
    <w:basedOn w:val="Normal"/>
    <w:uiPriority w:val="1"/>
    <w:qFormat/>
    <w:pPr>
      <w:spacing w:before="1"/>
      <w:ind w:left="836" w:hanging="361"/>
    </w:pPr>
    <w:rPr>
      <w:rFonts w:ascii="Arial" w:hAnsi="Arial" w:eastAsia="Arial" w:cs="Arial"/>
      <w:lang w:val="en-US" w:eastAsia="en-US" w:bidi="en-US"/>
    </w:rPr>
  </w:style>
  <w:style w:styleId="TableParagraph" w:type="paragraph">
    <w:name w:val="Table Paragraph"/>
    <w:basedOn w:val="Normal"/>
    <w:uiPriority w:val="1"/>
    <w:qFormat/>
    <w:pPr>
      <w:spacing w:before="123"/>
      <w:ind w:left="104"/>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hyperlink" Target="https://www.ontario.ca/fr/page/ministere-des-services-aux-aines-et-de-laccessibilite" TargetMode="External"/><Relationship Id="rId13"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hyperlink" Target="https://www.ontario.ca/fr/page/rapport-sur-les-recommandations-finales-sur-lelaboration-des-normes-pour-les-soins-de-sante-de-2022" TargetMode="External"/><Relationship Id="rId12"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hyperlink" Target="https://www.ontario.ca/fr/page/accessibilite-en-ontario" TargetMode="External"/><Relationship Id="rId4" Type="http://schemas.openxmlformats.org/officeDocument/2006/relationships/settings" Target="settings.xml"/><Relationship Id="rId9" Type="http://schemas.openxmlformats.org/officeDocument/2006/relationships/hyperlink" Target="https://www.ontario.ca/lois/loi/05a11" TargetMode="Externa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www.ontario.ca/fr/page/programme-de-subventions-aux-projets-communautaires-pour-linclusion-des-a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mmunication" ma:contentTypeID="0x0101001DF1D626BCB18941BE7337C2604A6E820101001835654754BDBE4097D8D41E08565743" ma:contentTypeVersion="16" ma:contentTypeDescription="" ma:contentTypeScope="" ma:versionID="3423e73e1fd5dd264808d0c0685d1259">
  <xsd:schema xmlns:xsd="http://www.w3.org/2001/XMLSchema" xmlns:xs="http://www.w3.org/2001/XMLSchema" xmlns:p="http://schemas.microsoft.com/office/2006/metadata/properties" xmlns:ns2="92602c1c-55ab-498a-b8a5-0caa852e9217" xmlns:ns3="7254da72-6f31-474f-b355-cdc633a7ebd8" targetNamespace="http://schemas.microsoft.com/office/2006/metadata/properties" ma:root="true" ma:fieldsID="0242343fead13f03edf6eee8ccaba5b7" ns2:_="" ns3:_="">
    <xsd:import namespace="92602c1c-55ab-498a-b8a5-0caa852e9217"/>
    <xsd:import namespace="7254da72-6f31-474f-b355-cdc633a7ebd8"/>
    <xsd:element name="properties">
      <xsd:complexType>
        <xsd:sequence>
          <xsd:element name="documentManagement">
            <xsd:complexType>
              <xsd:all>
                <xsd:element ref="ns2:Publish_x0020_Date"/>
                <xsd:element ref="ns2:Access_x0020_Only_x0020_For" minOccurs="0"/>
                <xsd:element ref="ns2:ndae2820bbcb4bd994cb3d0264a99808" minOccurs="0"/>
                <xsd:element ref="ns2:TaxCatchAll" minOccurs="0"/>
                <xsd:element ref="ns2:TaxCatchAllLabel" minOccurs="0"/>
                <xsd:element ref="ns3:Section" minOccurs="0"/>
                <xsd:element ref="ns3:Year"/>
                <xsd:element ref="ns3:Month"/>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02c1c-55ab-498a-b8a5-0caa852e9217" elementFormDefault="qualified">
    <xsd:import namespace="http://schemas.microsoft.com/office/2006/documentManagement/types"/>
    <xsd:import namespace="http://schemas.microsoft.com/office/infopath/2007/PartnerControls"/>
    <xsd:element name="Publish_x0020_Date" ma:index="2" ma:displayName="Publish Date" ma:default="[today]" ma:format="DateOnly" ma:indexed="true" ma:internalName="Publish_x0020_Date">
      <xsd:simpleType>
        <xsd:restriction base="dms:DateTime"/>
      </xsd:simpleType>
    </xsd:element>
    <xsd:element name="Access_x0020_Only_x0020_For" ma:index="4" nillable="true" ma:displayName="Access Only For" ma:list="UserInfo" ma:SearchPeopleOnly="false" ma:SharePointGroup="0" ma:internalName="Access_x0020_Only_x0020_F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ae2820bbcb4bd994cb3d0264a99808" ma:index="9" nillable="true" ma:taxonomy="true" ma:internalName="ndae2820bbcb4bd994cb3d0264a99808" ma:taxonomyFieldName="Tags" ma:displayName="Tags" ma:default="" ma:fieldId="{7dae2820-bbcb-4bd9-94cb-3d0264a99808}" ma:taxonomyMulti="true" ma:sspId="de71f9fb-d6aa-4ee2-a8d0-54c753b613e8" ma:termSetId="a9c54327-5211-4a5b-a8f7-155e86d18b5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ed47aef-74b5-4575-a37b-d22ca7558b49}" ma:internalName="TaxCatchAll" ma:showField="CatchAllData" ma:web="92602c1c-55ab-498a-b8a5-0caa852e921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ed47aef-74b5-4575-a37b-d22ca7558b49}" ma:internalName="TaxCatchAllLabel" ma:readOnly="true" ma:showField="CatchAllDataLabel" ma:web="92602c1c-55ab-498a-b8a5-0caa852e921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4da72-6f31-474f-b355-cdc633a7ebd8" elementFormDefault="qualified">
    <xsd:import namespace="http://schemas.microsoft.com/office/2006/documentManagement/types"/>
    <xsd:import namespace="http://schemas.microsoft.com/office/infopath/2007/PartnerControls"/>
    <xsd:element name="Section" ma:index="14" nillable="true" ma:displayName="Section" ma:default="Bulletin" ma:format="Dropdown" ma:indexed="true" ma:internalName="Section">
      <xsd:simpleType>
        <xsd:restriction base="dms:Choice">
          <xsd:enumeration value="Bulletin"/>
          <xsd:enumeration value="Media Release"/>
          <xsd:enumeration value="Document"/>
          <xsd:enumeration value="Chair's Reports"/>
          <xsd:enumeration value="OHA Submissions"/>
          <xsd:enumeration value="OHA Advocacy"/>
        </xsd:restriction>
      </xsd:simpleType>
    </xsd:element>
    <xsd:element name="Year" ma:index="15" ma:displayName="Year" ma:default="2024" ma:format="Dropdown" ma:internalName="Year">
      <xsd:simpleType>
        <xsd:restriction base="dms:Choice">
          <xsd:enumeration value="2026"/>
          <xsd:enumeration value="2025"/>
          <xsd:enumeration value="2024"/>
          <xsd:enumeration value="2023"/>
          <xsd:enumeration value="2022"/>
        </xsd:restriction>
      </xsd:simpleType>
    </xsd:element>
    <xsd:element name="Month" ma:index="16" ma:displayName="Month" ma:default="January"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602c1c-55ab-498a-b8a5-0caa852e9217"/>
    <Month xmlns="7254da72-6f31-474f-b355-cdc633a7ebd8">January</Month>
    <ndae2820bbcb4bd994cb3d0264a99808 xmlns="92602c1c-55ab-498a-b8a5-0caa852e9217">
      <Terms xmlns="http://schemas.microsoft.com/office/infopath/2007/PartnerControls"/>
    </ndae2820bbcb4bd994cb3d0264a99808>
    <Publish_x0020_Date xmlns="92602c1c-55ab-498a-b8a5-0caa852e9217">2026-03-20T04:00:00+00:00</Publish_x0020_Date>
    <Access_x0020_Only_x0020_For xmlns="92602c1c-55ab-498a-b8a5-0caa852e9217">
      <UserInfo>
        <DisplayName/>
        <AccountId xsi:nil="true"/>
        <AccountType/>
      </UserInfo>
    </Access_x0020_Only_x0020_For>
    <Year xmlns="7254da72-6f31-474f-b355-cdc633a7ebd8">2024</Year>
    <Section xmlns="7254da72-6f31-474f-b355-cdc633a7ebd8">Bulletin</Section>
  </documentManagement>
</p:properties>
</file>

<file path=customXml/itemProps1.xml><?xml version="1.0" encoding="utf-8"?>
<ds:datastoreItem xmlns:ds="http://schemas.openxmlformats.org/officeDocument/2006/customXml" ds:itemID="{BF745FB1-F237-4FDC-9EDA-DCF0ACAD59B9}"/>
</file>

<file path=customXml/itemProps2.xml><?xml version="1.0" encoding="utf-8"?>
<ds:datastoreItem xmlns:ds="http://schemas.openxmlformats.org/officeDocument/2006/customXml" ds:itemID="{EF8B0C36-8EB6-4B3E-AC5C-5ADCF42C73A7}"/>
</file>

<file path=customXml/itemProps3.xml><?xml version="1.0" encoding="utf-8"?>
<ds:datastoreItem xmlns:ds="http://schemas.openxmlformats.org/officeDocument/2006/customXml" ds:itemID="{1B8E8578-D970-4381-9326-7333CC722272}"/>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Anandakumar, Sasikala (TBS)</dc:creator>
  <dcterms:created xsi:type="dcterms:W3CDTF">2026-03-20T17:09:52Z</dcterms:created>
  <dcterms:modified xsi:type="dcterms:W3CDTF">2026-03-20T17:09:52Z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Microsoft Word</vt:lpwstr>
  </property>
  <property fmtid="{D5CDD505-2E9C-101B-9397-08002B2CF9AE}" pid="4" name="LastSaved">
    <vt:filetime>2026-03-20T00:00:00Z</vt:filetime>
  </property>
  <property fmtid="{D5CDD505-2E9C-101B-9397-08002B2CF9AE}" pid="5" name="ContentTypeId">
    <vt:lpwstr>0x0101001DF1D626BCB18941BE7337C2604A6E820101001835654754BDBE4097D8D41E08565743</vt:lpwstr>
  </property>
  <property fmtid="{D5CDD505-2E9C-101B-9397-08002B2CF9AE}" pid="6" name="Tags">
    <vt:lpwstr/>
  </property>
</Properties>
</file>