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BDB61" w14:textId="6C39B7C5" w:rsidR="00CB71B6" w:rsidRPr="00546FB7" w:rsidRDefault="00000000" w:rsidP="000915FC">
      <w:pPr>
        <w:widowControl w:val="0"/>
        <w:suppressAutoHyphens/>
        <w:autoSpaceDE w:val="0"/>
        <w:autoSpaceDN w:val="0"/>
        <w:adjustRightInd w:val="0"/>
        <w:spacing w:line="288" w:lineRule="auto"/>
        <w:textAlignment w:val="center"/>
        <w:rPr>
          <w:rFonts w:ascii="Arial" w:hAnsi="Arial"/>
          <w:color w:val="5251A2"/>
          <w:sz w:val="36"/>
          <w:szCs w:val="42"/>
        </w:rPr>
      </w:pPr>
      <w:r w:rsidRPr="00546FB7">
        <w:rPr>
          <w:rFonts w:ascii="Arial" w:hAnsi="Arial"/>
          <w:color w:val="5251A2"/>
          <w:sz w:val="36"/>
          <w:szCs w:val="42"/>
        </w:rPr>
        <w:t xml:space="preserve">Form </w:t>
      </w:r>
      <w:r w:rsidR="00FB31B9">
        <w:rPr>
          <w:rFonts w:ascii="Arial" w:hAnsi="Arial"/>
          <w:color w:val="5251A2"/>
          <w:sz w:val="36"/>
          <w:szCs w:val="42"/>
        </w:rPr>
        <w:t>3</w:t>
      </w:r>
      <w:r w:rsidRPr="00546FB7">
        <w:rPr>
          <w:rFonts w:ascii="Arial" w:hAnsi="Arial"/>
          <w:color w:val="5251A2"/>
          <w:sz w:val="36"/>
          <w:szCs w:val="42"/>
        </w:rPr>
        <w:t>.1</w:t>
      </w:r>
    </w:p>
    <w:p w14:paraId="1F0BD1A3" w14:textId="77777777" w:rsidR="00CB71B6" w:rsidRPr="00546FB7" w:rsidRDefault="00000000" w:rsidP="000915FC">
      <w:pPr>
        <w:rPr>
          <w:rFonts w:ascii="Arial" w:hAnsi="Arial" w:cs="Times-Italic"/>
          <w:color w:val="5251A2"/>
          <w:sz w:val="26"/>
          <w:lang w:bidi="en-US"/>
        </w:rPr>
      </w:pPr>
      <w:r w:rsidRPr="00546FB7">
        <w:rPr>
          <w:rFonts w:ascii="Arial" w:hAnsi="Arial"/>
          <w:color w:val="5251A2"/>
          <w:sz w:val="36"/>
        </w:rPr>
        <w:t>Balanced Scorecards and Dashboards</w:t>
      </w:r>
    </w:p>
    <w:p w14:paraId="237612F0" w14:textId="77777777" w:rsidR="00CB71B6" w:rsidRPr="00546FB7" w:rsidRDefault="00CB71B6" w:rsidP="000915FC">
      <w:pPr>
        <w:pStyle w:val="GCEarial"/>
        <w:rPr>
          <w:color w:val="5251A2"/>
        </w:rPr>
      </w:pPr>
    </w:p>
    <w:p w14:paraId="03C147EC" w14:textId="77777777" w:rsidR="00CB71B6" w:rsidRPr="00546FB7" w:rsidRDefault="00000000" w:rsidP="000915FC">
      <w:pPr>
        <w:pStyle w:val="GCEarial"/>
        <w:rPr>
          <w:b/>
          <w:color w:val="5251A2"/>
          <w:sz w:val="26"/>
        </w:rPr>
      </w:pPr>
      <w:r w:rsidRPr="00546FB7">
        <w:rPr>
          <w:b/>
          <w:color w:val="5251A2"/>
          <w:sz w:val="26"/>
        </w:rPr>
        <w:t>The Balanced Scorecard Approach</w:t>
      </w:r>
    </w:p>
    <w:p w14:paraId="7E349E6C" w14:textId="77777777" w:rsidR="00546FB7" w:rsidRDefault="00000000" w:rsidP="00546FB7">
      <w:pPr>
        <w:pStyle w:val="GCEarial"/>
        <w:rPr>
          <w:i/>
          <w:iCs/>
        </w:rPr>
      </w:pPr>
      <w:r w:rsidRPr="00C3484D">
        <w:rPr>
          <w:rFonts w:ascii="Calibri" w:hAnsi="Calibri"/>
        </w:rPr>
        <w:br/>
      </w:r>
      <w:r w:rsidR="00546FB7">
        <w:t xml:space="preserve">The balanced scorecard approach was initially developed by Robert Kaplan and David Norton for use in the private sector to ensure corporations considered non-financial performance. See </w:t>
      </w:r>
      <w:r w:rsidR="00546FB7" w:rsidRPr="00662585">
        <w:rPr>
          <w:i/>
          <w:iCs/>
        </w:rPr>
        <w:t xml:space="preserve">The Balanced Scorecard: </w:t>
      </w:r>
      <w:r w:rsidR="00546FB7">
        <w:rPr>
          <w:i/>
          <w:iCs/>
        </w:rPr>
        <w:t>Measures that Drive Performance</w:t>
      </w:r>
      <w:r w:rsidR="00546FB7" w:rsidRPr="00662585">
        <w:rPr>
          <w:i/>
          <w:iCs/>
        </w:rPr>
        <w:t xml:space="preserve"> by Robert Kaplan and David Norton (199</w:t>
      </w:r>
      <w:r w:rsidR="00546FB7">
        <w:rPr>
          <w:i/>
          <w:iCs/>
        </w:rPr>
        <w:t>2</w:t>
      </w:r>
      <w:r w:rsidR="00546FB7" w:rsidRPr="00662585">
        <w:rPr>
          <w:i/>
          <w:iCs/>
        </w:rPr>
        <w:t xml:space="preserve">, Harvard Business </w:t>
      </w:r>
      <w:r w:rsidR="00546FB7">
        <w:rPr>
          <w:i/>
          <w:iCs/>
        </w:rPr>
        <w:t>Review</w:t>
      </w:r>
      <w:r w:rsidR="00546FB7" w:rsidRPr="00662585">
        <w:rPr>
          <w:i/>
          <w:iCs/>
        </w:rPr>
        <w:t xml:space="preserve"> 199</w:t>
      </w:r>
      <w:r w:rsidR="00546FB7">
        <w:rPr>
          <w:i/>
          <w:iCs/>
        </w:rPr>
        <w:t>2</w:t>
      </w:r>
      <w:r w:rsidR="00546FB7" w:rsidRPr="00662585">
        <w:rPr>
          <w:i/>
          <w:iCs/>
        </w:rPr>
        <w:t>)</w:t>
      </w:r>
      <w:r w:rsidR="00546FB7">
        <w:t xml:space="preserve">.  It has more recently been adapted for not-for-profit organizations. </w:t>
      </w:r>
      <w:r w:rsidR="00546FB7">
        <w:rPr>
          <w:i/>
          <w:iCs/>
        </w:rPr>
        <w:t>See Reimagining the Balanced Scorecard for the ESG Era by Robert Kaplan and David McMillan (2021, Harvard Business Review 2021).</w:t>
      </w:r>
    </w:p>
    <w:p w14:paraId="1D00ABEB" w14:textId="77777777" w:rsidR="00546FB7" w:rsidRDefault="00546FB7" w:rsidP="00546FB7">
      <w:pPr>
        <w:pStyle w:val="GCEarial"/>
        <w:rPr>
          <w:i/>
          <w:iCs/>
        </w:rPr>
      </w:pPr>
    </w:p>
    <w:p w14:paraId="20959D26" w14:textId="43AE9E6E" w:rsidR="00546FB7" w:rsidRPr="00546FB7" w:rsidRDefault="00546FB7" w:rsidP="00546FB7">
      <w:pPr>
        <w:pStyle w:val="GCEarial"/>
        <w:rPr>
          <w:i/>
          <w:iCs/>
        </w:rPr>
      </w:pPr>
      <w:r>
        <w:t>The idea is essentially that financial performance is a lagging indicator of success, while others (such as staff satisfaction and new product innovations) are leading indicators. Senior management and the board need to watch these latter indicators, since they predict how well the organization will do in the future.</w:t>
      </w:r>
    </w:p>
    <w:p w14:paraId="09D29709" w14:textId="26BA7D0B" w:rsidR="00CB71B6" w:rsidRPr="00C3484D" w:rsidRDefault="00CB71B6" w:rsidP="00546FB7">
      <w:pPr>
        <w:pStyle w:val="GCEarial"/>
      </w:pPr>
    </w:p>
    <w:p w14:paraId="6EF8E951" w14:textId="77777777" w:rsidR="00CB71B6" w:rsidRPr="00C3484D" w:rsidRDefault="00000000" w:rsidP="000915FC">
      <w:pPr>
        <w:pStyle w:val="GCEarial"/>
        <w:spacing w:after="120"/>
      </w:pPr>
      <w:r w:rsidRPr="00C3484D">
        <w:t>The four standard perspectives relevant to hospitals are:</w:t>
      </w:r>
    </w:p>
    <w:p w14:paraId="5E1BB957" w14:textId="77777777" w:rsidR="00CB71B6" w:rsidRPr="00C3484D" w:rsidRDefault="00000000">
      <w:pPr>
        <w:pStyle w:val="GCEarial"/>
        <w:numPr>
          <w:ilvl w:val="0"/>
          <w:numId w:val="3"/>
        </w:numPr>
        <w:spacing w:line="360" w:lineRule="auto"/>
      </w:pPr>
      <w:r w:rsidRPr="00C3484D">
        <w:t xml:space="preserve">Patient or consumer </w:t>
      </w:r>
      <w:proofErr w:type="gramStart"/>
      <w:r w:rsidRPr="00C3484D">
        <w:t>perspective;</w:t>
      </w:r>
      <w:proofErr w:type="gramEnd"/>
    </w:p>
    <w:p w14:paraId="68A2349E" w14:textId="77777777" w:rsidR="00CB71B6" w:rsidRPr="00C3484D" w:rsidRDefault="00000000">
      <w:pPr>
        <w:pStyle w:val="GCEarial"/>
        <w:numPr>
          <w:ilvl w:val="0"/>
          <w:numId w:val="3"/>
        </w:numPr>
        <w:spacing w:line="360" w:lineRule="auto"/>
      </w:pPr>
      <w:r w:rsidRPr="00C3484D">
        <w:t xml:space="preserve">Financial </w:t>
      </w:r>
      <w:proofErr w:type="gramStart"/>
      <w:r w:rsidRPr="00C3484D">
        <w:t>perspective;</w:t>
      </w:r>
      <w:proofErr w:type="gramEnd"/>
    </w:p>
    <w:p w14:paraId="31C96E76" w14:textId="77777777" w:rsidR="00CB71B6" w:rsidRPr="00C3484D" w:rsidRDefault="00000000">
      <w:pPr>
        <w:pStyle w:val="GCEarial"/>
        <w:numPr>
          <w:ilvl w:val="0"/>
          <w:numId w:val="3"/>
        </w:numPr>
        <w:spacing w:line="360" w:lineRule="auto"/>
      </w:pPr>
      <w:r w:rsidRPr="00C3484D">
        <w:t>Internal processes perspective; and</w:t>
      </w:r>
    </w:p>
    <w:p w14:paraId="179F6F46" w14:textId="77777777" w:rsidR="00CB71B6" w:rsidRPr="00C3484D" w:rsidRDefault="00000000">
      <w:pPr>
        <w:pStyle w:val="GCEarial"/>
        <w:numPr>
          <w:ilvl w:val="0"/>
          <w:numId w:val="3"/>
        </w:numPr>
        <w:spacing w:line="360" w:lineRule="auto"/>
      </w:pPr>
      <w:r w:rsidRPr="00C3484D">
        <w:t>Innovation and learning, or community engagement perspective.</w:t>
      </w:r>
    </w:p>
    <w:p w14:paraId="5A7C9211" w14:textId="77777777" w:rsidR="00CB71B6" w:rsidRPr="00C3484D" w:rsidRDefault="00CB71B6" w:rsidP="000915FC">
      <w:pPr>
        <w:pStyle w:val="GCEarial"/>
      </w:pPr>
    </w:p>
    <w:p w14:paraId="213E9DA2" w14:textId="77777777" w:rsidR="00546FB7" w:rsidRDefault="00546FB7" w:rsidP="00546FB7">
      <w:pPr>
        <w:pStyle w:val="GCEarial"/>
      </w:pPr>
      <w:r>
        <w:t xml:space="preserve">In the balanced scorecard approach, senior management develops a few objectives in each perspective area that are consistent with, and support, the organization's </w:t>
      </w:r>
      <w:r w:rsidRPr="00DE22F1">
        <w:t>vision, mission</w:t>
      </w:r>
      <w:r>
        <w:t xml:space="preserve"> or strategic direction. For each objective, measures are developed with performance indicators that can be used to evaluate progress and achievement.</w:t>
      </w:r>
    </w:p>
    <w:p w14:paraId="6CB093EF" w14:textId="77777777" w:rsidR="00546FB7" w:rsidRDefault="00546FB7" w:rsidP="00546FB7">
      <w:pPr>
        <w:pStyle w:val="GCEarial"/>
      </w:pPr>
    </w:p>
    <w:p w14:paraId="5CEAE13E" w14:textId="7A3209D8" w:rsidR="00546FB7" w:rsidRDefault="00546FB7" w:rsidP="00546FB7">
      <w:pPr>
        <w:pStyle w:val="GCEarial"/>
      </w:pPr>
      <w:r>
        <w:t>As a balanced approach, the method appears to suit the health sector. In fact, many hospitals have adapted the balanced scorecard approach to their situation and report that it is serving them well.</w:t>
      </w:r>
    </w:p>
    <w:p w14:paraId="2ECD57D8" w14:textId="77777777" w:rsidR="00CB71B6" w:rsidRPr="00C3484D" w:rsidRDefault="00CB71B6" w:rsidP="000915FC">
      <w:pPr>
        <w:pStyle w:val="GCEarial"/>
      </w:pPr>
    </w:p>
    <w:p w14:paraId="16AFD81B" w14:textId="77777777" w:rsidR="00CB71B6" w:rsidRPr="00546FB7" w:rsidRDefault="00000000" w:rsidP="000915FC">
      <w:pPr>
        <w:pStyle w:val="GCEarial"/>
        <w:rPr>
          <w:rStyle w:val="Emphasis"/>
          <w:b/>
          <w:iCs w:val="0"/>
          <w:color w:val="5251A2"/>
          <w:sz w:val="26"/>
        </w:rPr>
      </w:pPr>
      <w:r w:rsidRPr="00546FB7">
        <w:rPr>
          <w:rStyle w:val="Emphasis"/>
          <w:b/>
          <w:i w:val="0"/>
          <w:iCs w:val="0"/>
          <w:color w:val="5251A2"/>
          <w:sz w:val="26"/>
        </w:rPr>
        <w:t>The Dashboard Approach</w:t>
      </w:r>
    </w:p>
    <w:p w14:paraId="73024717" w14:textId="77777777" w:rsidR="00CB71B6" w:rsidRPr="00C3484D" w:rsidRDefault="00CB71B6" w:rsidP="000915FC">
      <w:pPr>
        <w:pStyle w:val="GCEarial"/>
      </w:pPr>
    </w:p>
    <w:p w14:paraId="6F584033" w14:textId="60DE26DB" w:rsidR="00546FB7" w:rsidRPr="00C3484D" w:rsidRDefault="00546FB7" w:rsidP="00546FB7">
      <w:pPr>
        <w:pStyle w:val="GCEarial"/>
        <w:spacing w:after="120"/>
      </w:pPr>
      <w:r>
        <w:t xml:space="preserve">Dashboards typically display a conclusion about </w:t>
      </w:r>
      <w:proofErr w:type="gramStart"/>
      <w:r>
        <w:t>whether or not</w:t>
      </w:r>
      <w:proofErr w:type="gramEnd"/>
      <w:r>
        <w:t xml:space="preserve"> there is an issue with performance. This simplifies interpretation for the board. For each indicator, there is a </w:t>
      </w:r>
      <w:proofErr w:type="spellStart"/>
      <w:r>
        <w:t>colour</w:t>
      </w:r>
      <w:proofErr w:type="spellEnd"/>
      <w:r>
        <w:t xml:space="preserve"> with an obvious meaning:</w:t>
      </w:r>
    </w:p>
    <w:p w14:paraId="069D94D7" w14:textId="77777777" w:rsidR="00546FB7" w:rsidRDefault="00546FB7" w:rsidP="00F57FF5">
      <w:pPr>
        <w:pStyle w:val="GCEarial"/>
        <w:numPr>
          <w:ilvl w:val="0"/>
          <w:numId w:val="9"/>
        </w:numPr>
        <w:spacing w:line="360" w:lineRule="auto"/>
        <w:ind w:left="284" w:hanging="284"/>
      </w:pPr>
      <w:r>
        <w:t xml:space="preserve">Green means the performance is above standard or within the performance </w:t>
      </w:r>
      <w:proofErr w:type="gramStart"/>
      <w:r>
        <w:t>range;</w:t>
      </w:r>
      <w:proofErr w:type="gramEnd"/>
    </w:p>
    <w:p w14:paraId="6663A191" w14:textId="77777777" w:rsidR="00546FB7" w:rsidRDefault="00546FB7" w:rsidP="00F57FF5">
      <w:pPr>
        <w:pStyle w:val="GCEarial"/>
        <w:numPr>
          <w:ilvl w:val="0"/>
          <w:numId w:val="9"/>
        </w:numPr>
        <w:spacing w:line="360" w:lineRule="auto"/>
        <w:ind w:left="284" w:hanging="284"/>
      </w:pPr>
      <w:r>
        <w:t>Yellow means warning, suggesting the performance is below standard or in the low range; and</w:t>
      </w:r>
    </w:p>
    <w:p w14:paraId="4336350C" w14:textId="3EF69D35" w:rsidR="00CB71B6" w:rsidRPr="00C3484D" w:rsidRDefault="00546FB7" w:rsidP="00F57FF5">
      <w:pPr>
        <w:pStyle w:val="GCEarial"/>
        <w:numPr>
          <w:ilvl w:val="0"/>
          <w:numId w:val="9"/>
        </w:numPr>
        <w:spacing w:line="360" w:lineRule="auto"/>
        <w:ind w:left="284" w:hanging="284"/>
      </w:pPr>
      <w:r>
        <w:t>Red means below standard.</w:t>
      </w:r>
    </w:p>
    <w:p w14:paraId="5B15613E" w14:textId="77777777" w:rsidR="00546FB7" w:rsidRDefault="00546FB7" w:rsidP="000915FC">
      <w:pPr>
        <w:pStyle w:val="GCEarial"/>
        <w:spacing w:after="120"/>
      </w:pPr>
    </w:p>
    <w:p w14:paraId="119DF656" w14:textId="5314ABF3" w:rsidR="00CB71B6" w:rsidRPr="00C3484D" w:rsidRDefault="00000000" w:rsidP="000915FC">
      <w:pPr>
        <w:pStyle w:val="GCEarial"/>
        <w:spacing w:after="120"/>
      </w:pPr>
      <w:r w:rsidRPr="00C3484D">
        <w:t>To make the dashboard approach work, the following steps are required:</w:t>
      </w:r>
    </w:p>
    <w:p w14:paraId="2243C0A7" w14:textId="77777777" w:rsidR="00546FB7" w:rsidRDefault="00546FB7" w:rsidP="00F57FF5">
      <w:pPr>
        <w:pStyle w:val="GCEarial"/>
        <w:numPr>
          <w:ilvl w:val="0"/>
          <w:numId w:val="10"/>
        </w:numPr>
        <w:spacing w:after="120"/>
        <w:ind w:left="284" w:hanging="284"/>
      </w:pPr>
      <w:r>
        <w:t xml:space="preserve">Performance areas and related indicators need to be </w:t>
      </w:r>
      <w:proofErr w:type="gramStart"/>
      <w:r>
        <w:t>selected;</w:t>
      </w:r>
      <w:proofErr w:type="gramEnd"/>
    </w:p>
    <w:p w14:paraId="1C42841D" w14:textId="77777777" w:rsidR="00546FB7" w:rsidRDefault="00546FB7" w:rsidP="00F57FF5">
      <w:pPr>
        <w:pStyle w:val="GCEarial"/>
        <w:numPr>
          <w:ilvl w:val="0"/>
          <w:numId w:val="10"/>
        </w:numPr>
        <w:spacing w:after="120"/>
        <w:ind w:left="284" w:hanging="284"/>
      </w:pPr>
      <w:r>
        <w:t xml:space="preserve">There must be some pre-defined rules about when each </w:t>
      </w:r>
      <w:proofErr w:type="spellStart"/>
      <w:r>
        <w:t>colour</w:t>
      </w:r>
      <w:proofErr w:type="spellEnd"/>
      <w:r>
        <w:t xml:space="preserve"> is used in terms of indicator </w:t>
      </w:r>
      <w:proofErr w:type="gramStart"/>
      <w:r>
        <w:t>level;</w:t>
      </w:r>
      <w:proofErr w:type="gramEnd"/>
      <w:r>
        <w:t xml:space="preserve"> e.g., for wait times 20% above target is red, 10% above is yellow, and equal or below is green; and</w:t>
      </w:r>
    </w:p>
    <w:p w14:paraId="3ED2FDEA" w14:textId="77777777" w:rsidR="00546FB7" w:rsidRDefault="00546FB7" w:rsidP="00F57FF5">
      <w:pPr>
        <w:pStyle w:val="GCEarial"/>
        <w:numPr>
          <w:ilvl w:val="0"/>
          <w:numId w:val="10"/>
        </w:numPr>
        <w:spacing w:after="120"/>
        <w:ind w:left="284" w:hanging="284"/>
      </w:pPr>
      <w:proofErr w:type="gramStart"/>
      <w:r>
        <w:t>Typically</w:t>
      </w:r>
      <w:proofErr w:type="gramEnd"/>
      <w:r>
        <w:t xml:space="preserve"> dashboards can include trend information — is it going down or up?</w:t>
      </w:r>
    </w:p>
    <w:p w14:paraId="0D1064BF" w14:textId="77777777" w:rsidR="00CB71B6" w:rsidRPr="00C3484D" w:rsidRDefault="00CB71B6" w:rsidP="000915FC">
      <w:pPr>
        <w:pStyle w:val="GCEarial"/>
      </w:pPr>
    </w:p>
    <w:p w14:paraId="48F5A836" w14:textId="6EE49A04" w:rsidR="00CB71B6" w:rsidRPr="00C3484D" w:rsidRDefault="00CB71B6" w:rsidP="000915FC">
      <w:pPr>
        <w:pStyle w:val="GCEarial"/>
      </w:pPr>
    </w:p>
    <w:p w14:paraId="0BBC2B6E" w14:textId="7350C63C" w:rsidR="00CB71B6" w:rsidRPr="00C3484D" w:rsidRDefault="00546FB7" w:rsidP="00546FB7">
      <w:pPr>
        <w:pStyle w:val="GCEarial"/>
        <w:spacing w:after="120"/>
      </w:pPr>
      <w:proofErr w:type="gramStart"/>
      <w:r>
        <w:t>In order for</w:t>
      </w:r>
      <w:proofErr w:type="gramEnd"/>
      <w:r>
        <w:t xml:space="preserve"> the dashboard approach to be effective, board members require some education as to how to review the dashboard and its meaning. Many organizations are now fine-tuning their dashboard practices to better serve the board.</w:t>
      </w:r>
    </w:p>
    <w:p w14:paraId="53E5367F" w14:textId="77777777" w:rsidR="00546FB7" w:rsidRDefault="00546FB7" w:rsidP="00F57FF5">
      <w:pPr>
        <w:pStyle w:val="GCEarial"/>
        <w:numPr>
          <w:ilvl w:val="0"/>
          <w:numId w:val="11"/>
        </w:numPr>
        <w:spacing w:after="120"/>
        <w:ind w:left="284" w:hanging="284"/>
      </w:pPr>
      <w:r>
        <w:t>Reporting different measures for different periods — developing certain indicators for monthly or quarterly reporting, and others for annual review by the board. This reduces the indicators reviewed at any one time.</w:t>
      </w:r>
    </w:p>
    <w:p w14:paraId="1B688B4B" w14:textId="77777777" w:rsidR="00546FB7" w:rsidRDefault="00546FB7" w:rsidP="00F57FF5">
      <w:pPr>
        <w:pStyle w:val="GCEarial"/>
        <w:numPr>
          <w:ilvl w:val="0"/>
          <w:numId w:val="11"/>
        </w:numPr>
        <w:spacing w:after="120"/>
        <w:ind w:left="284" w:hanging="284"/>
      </w:pPr>
      <w:r>
        <w:t>Simplifying dashboards while providing summary back-up — dashboards are getting simpler and easier to understand. These are often supplemented by back-up sheets that offer more specifics about the indicators and a brief commentary from management explaining variances. This allows some board members to examine certain quality indicators, while others may focus elsewhere.</w:t>
      </w:r>
    </w:p>
    <w:p w14:paraId="14B477F8" w14:textId="77777777" w:rsidR="00546FB7" w:rsidRDefault="00546FB7" w:rsidP="00F57FF5">
      <w:pPr>
        <w:pStyle w:val="GCEarial"/>
        <w:numPr>
          <w:ilvl w:val="0"/>
          <w:numId w:val="11"/>
        </w:numPr>
        <w:spacing w:after="120"/>
        <w:ind w:left="284" w:hanging="284"/>
      </w:pPr>
      <w:r>
        <w:t>Creating more transparency and comparative benchmarks — dashboards have been easy to interpret since the green, yellow and red scheme is intuitive. However, it can be deceptive since it isn't obvious what method underlies the determination of colour. Some dashboards now show the standard for determining status for greater transparency.</w:t>
      </w:r>
    </w:p>
    <w:p w14:paraId="57AA669C" w14:textId="77777777" w:rsidR="00CB71B6" w:rsidRPr="00C3484D" w:rsidRDefault="00CB71B6" w:rsidP="000915FC">
      <w:pPr>
        <w:pStyle w:val="GCEarial"/>
      </w:pPr>
    </w:p>
    <w:p w14:paraId="608BFCB3" w14:textId="77777777" w:rsidR="00760097" w:rsidRDefault="00760097" w:rsidP="00760097">
      <w:pPr>
        <w:pStyle w:val="GCEarial"/>
      </w:pPr>
      <w:r>
        <w:t>Whether or not a balanced scorecard or dashboard method is used, the comparisons to benchmarks and comparable hospitals have been underdeveloped. This aspect of performance reporting is improving.</w:t>
      </w:r>
    </w:p>
    <w:p w14:paraId="136821FD" w14:textId="77777777" w:rsidR="00CB71B6" w:rsidRPr="00C3484D" w:rsidRDefault="00CB71B6" w:rsidP="000915FC">
      <w:pPr>
        <w:pStyle w:val="GCEarial"/>
      </w:pPr>
    </w:p>
    <w:p w14:paraId="1CECB06B" w14:textId="77777777" w:rsidR="00CB71B6" w:rsidRPr="00760097" w:rsidRDefault="00000000" w:rsidP="000915FC">
      <w:pPr>
        <w:pStyle w:val="GCEarial"/>
        <w:rPr>
          <w:rStyle w:val="Emphasis"/>
          <w:b/>
          <w:iCs w:val="0"/>
          <w:color w:val="5251A2"/>
          <w:sz w:val="26"/>
        </w:rPr>
      </w:pPr>
      <w:r w:rsidRPr="00760097">
        <w:rPr>
          <w:rStyle w:val="Emphasis"/>
          <w:b/>
          <w:i w:val="0"/>
          <w:iCs w:val="0"/>
          <w:color w:val="5251A2"/>
          <w:sz w:val="26"/>
        </w:rPr>
        <w:t>Examples of Balanced Scorecard and Dashboards</w:t>
      </w:r>
    </w:p>
    <w:p w14:paraId="3F38B39E" w14:textId="77777777" w:rsidR="00CB71B6" w:rsidRPr="00C3484D" w:rsidRDefault="00CB71B6" w:rsidP="000915FC">
      <w:pPr>
        <w:pStyle w:val="GCEarial"/>
      </w:pPr>
    </w:p>
    <w:p w14:paraId="7D4F7775" w14:textId="77777777" w:rsidR="00CB71B6" w:rsidRPr="007C5D1E" w:rsidRDefault="00000000" w:rsidP="000915FC">
      <w:pPr>
        <w:pStyle w:val="GCEarial"/>
        <w:rPr>
          <w:b/>
          <w:color w:val="D5F0F3"/>
        </w:rPr>
      </w:pPr>
      <w:r w:rsidRPr="00546FB7">
        <w:rPr>
          <w:b/>
          <w:color w:val="5251A2"/>
        </w:rPr>
        <w:t xml:space="preserve">Common Hospital Performance Measures </w:t>
      </w:r>
      <w:r w:rsidRPr="00546FB7">
        <w:rPr>
          <w:b/>
          <w:color w:val="5251A2"/>
        </w:rPr>
        <w:br/>
      </w:r>
    </w:p>
    <w:tbl>
      <w:tblPr>
        <w:tblW w:w="6570" w:type="dxa"/>
        <w:tblInd w:w="1600" w:type="dxa"/>
        <w:tblBorders>
          <w:top w:val="single" w:sz="4" w:space="0" w:color="293E6B"/>
          <w:left w:val="single" w:sz="4" w:space="0" w:color="293E6B"/>
          <w:bottom w:val="single" w:sz="4" w:space="0" w:color="293E6B"/>
          <w:right w:val="single" w:sz="4" w:space="0" w:color="293E6B"/>
          <w:insideH w:val="single" w:sz="4" w:space="0" w:color="293E6B"/>
          <w:insideV w:val="single" w:sz="4" w:space="0" w:color="293E6B"/>
        </w:tblBorders>
        <w:tblCellMar>
          <w:left w:w="0" w:type="dxa"/>
          <w:right w:w="0" w:type="dxa"/>
        </w:tblCellMar>
        <w:tblLook w:val="00A0" w:firstRow="1" w:lastRow="0" w:firstColumn="1" w:lastColumn="0" w:noHBand="0" w:noVBand="0"/>
      </w:tblPr>
      <w:tblGrid>
        <w:gridCol w:w="3240"/>
        <w:gridCol w:w="3330"/>
      </w:tblGrid>
      <w:tr w:rsidR="000915FC" w:rsidRPr="00F4069C" w14:paraId="52338502" w14:textId="77777777" w:rsidTr="007C5D1E">
        <w:trPr>
          <w:trHeight w:val="285"/>
        </w:trPr>
        <w:tc>
          <w:tcPr>
            <w:tcW w:w="6570" w:type="dxa"/>
            <w:gridSpan w:val="2"/>
            <w:tcBorders>
              <w:bottom w:val="single" w:sz="4" w:space="0" w:color="293E6B"/>
            </w:tcBorders>
            <w:shd w:val="clear" w:color="auto" w:fill="D5F0F3"/>
            <w:tcMar>
              <w:top w:w="101" w:type="dxa"/>
              <w:left w:w="160" w:type="dxa"/>
              <w:bottom w:w="83" w:type="dxa"/>
              <w:right w:w="160" w:type="dxa"/>
            </w:tcMar>
            <w:vAlign w:val="center"/>
          </w:tcPr>
          <w:p w14:paraId="6CA6B325" w14:textId="77777777" w:rsidR="00CB71B6" w:rsidRPr="00C3484D" w:rsidRDefault="00000000" w:rsidP="000915FC">
            <w:pPr>
              <w:pStyle w:val="GCEarial"/>
              <w:jc w:val="center"/>
              <w:rPr>
                <w:rFonts w:ascii="Calibri" w:hAnsi="Calibri"/>
                <w:b/>
              </w:rPr>
            </w:pPr>
            <w:r w:rsidRPr="00C3484D">
              <w:rPr>
                <w:b/>
                <w:bCs/>
              </w:rPr>
              <w:t>Common Performance Measures</w:t>
            </w:r>
          </w:p>
        </w:tc>
      </w:tr>
      <w:tr w:rsidR="000915FC" w:rsidRPr="00F4069C" w14:paraId="6BC465CF" w14:textId="77777777" w:rsidTr="007C5D1E">
        <w:trPr>
          <w:trHeight w:val="303"/>
        </w:trPr>
        <w:tc>
          <w:tcPr>
            <w:tcW w:w="3240" w:type="dxa"/>
            <w:shd w:val="clear" w:color="auto" w:fill="EDEDF6"/>
            <w:tcMar>
              <w:top w:w="101" w:type="dxa"/>
              <w:left w:w="160" w:type="dxa"/>
              <w:bottom w:w="83" w:type="dxa"/>
              <w:right w:w="160" w:type="dxa"/>
            </w:tcMar>
            <w:vAlign w:val="center"/>
          </w:tcPr>
          <w:p w14:paraId="1D826D3A" w14:textId="77777777" w:rsidR="00CB71B6" w:rsidRPr="00C3484D" w:rsidRDefault="00000000" w:rsidP="000915FC">
            <w:pPr>
              <w:pStyle w:val="GCEarial"/>
              <w:jc w:val="center"/>
              <w:rPr>
                <w:rFonts w:ascii="Calibri" w:hAnsi="Calibri"/>
                <w:b/>
              </w:rPr>
            </w:pPr>
            <w:r w:rsidRPr="00C3484D">
              <w:rPr>
                <w:b/>
                <w:bCs/>
              </w:rPr>
              <w:t>Patient Access and Outcomes</w:t>
            </w:r>
          </w:p>
        </w:tc>
        <w:tc>
          <w:tcPr>
            <w:tcW w:w="3330" w:type="dxa"/>
            <w:shd w:val="clear" w:color="auto" w:fill="EDEDF6"/>
            <w:tcMar>
              <w:top w:w="101" w:type="dxa"/>
              <w:left w:w="160" w:type="dxa"/>
              <w:bottom w:w="83" w:type="dxa"/>
              <w:right w:w="160" w:type="dxa"/>
            </w:tcMar>
            <w:vAlign w:val="center"/>
          </w:tcPr>
          <w:p w14:paraId="2FA51932" w14:textId="77777777" w:rsidR="00CB71B6" w:rsidRPr="00C3484D" w:rsidRDefault="00000000" w:rsidP="000915FC">
            <w:pPr>
              <w:pStyle w:val="GCEarial"/>
              <w:jc w:val="center"/>
              <w:rPr>
                <w:rFonts w:ascii="Calibri" w:hAnsi="Calibri"/>
                <w:b/>
              </w:rPr>
            </w:pPr>
            <w:r w:rsidRPr="00C3484D">
              <w:rPr>
                <w:b/>
                <w:bCs/>
              </w:rPr>
              <w:t>Financial Health</w:t>
            </w:r>
          </w:p>
        </w:tc>
      </w:tr>
      <w:tr w:rsidR="000915FC" w:rsidRPr="00F4069C" w14:paraId="241E7887" w14:textId="77777777" w:rsidTr="007C5D1E">
        <w:trPr>
          <w:trHeight w:val="1274"/>
        </w:trPr>
        <w:tc>
          <w:tcPr>
            <w:tcW w:w="3240" w:type="dxa"/>
            <w:tcBorders>
              <w:bottom w:val="single" w:sz="4" w:space="0" w:color="293E6B"/>
            </w:tcBorders>
            <w:tcMar>
              <w:top w:w="101" w:type="dxa"/>
              <w:left w:w="160" w:type="dxa"/>
              <w:bottom w:w="83" w:type="dxa"/>
              <w:right w:w="160" w:type="dxa"/>
            </w:tcMar>
          </w:tcPr>
          <w:p w14:paraId="68829D73" w14:textId="77777777" w:rsidR="00CB71B6" w:rsidRPr="00C3484D" w:rsidRDefault="00000000">
            <w:pPr>
              <w:pStyle w:val="GCEarial"/>
              <w:numPr>
                <w:ilvl w:val="0"/>
                <w:numId w:val="5"/>
              </w:numPr>
              <w:tabs>
                <w:tab w:val="clear" w:pos="360"/>
                <w:tab w:val="num" w:pos="290"/>
              </w:tabs>
              <w:ind w:left="288" w:hanging="288"/>
            </w:pPr>
            <w:r w:rsidRPr="00C3484D">
              <w:t>Patient satisfaction</w:t>
            </w:r>
          </w:p>
          <w:p w14:paraId="75DF2A27" w14:textId="77777777" w:rsidR="00CB71B6" w:rsidRPr="00C3484D" w:rsidRDefault="00000000">
            <w:pPr>
              <w:pStyle w:val="GCEarial"/>
              <w:numPr>
                <w:ilvl w:val="0"/>
                <w:numId w:val="5"/>
              </w:numPr>
              <w:tabs>
                <w:tab w:val="clear" w:pos="360"/>
                <w:tab w:val="num" w:pos="290"/>
              </w:tabs>
              <w:ind w:left="288" w:hanging="288"/>
            </w:pPr>
            <w:r w:rsidRPr="00C3484D">
              <w:t>Service volumes (e.g., emergency visits, day surgery units)</w:t>
            </w:r>
          </w:p>
          <w:p w14:paraId="0D611128" w14:textId="77777777" w:rsidR="00CB71B6" w:rsidRPr="00C3484D" w:rsidRDefault="00000000">
            <w:pPr>
              <w:pStyle w:val="GCEarial"/>
              <w:numPr>
                <w:ilvl w:val="0"/>
                <w:numId w:val="5"/>
              </w:numPr>
              <w:tabs>
                <w:tab w:val="clear" w:pos="360"/>
                <w:tab w:val="num" w:pos="290"/>
              </w:tabs>
              <w:ind w:left="288" w:hanging="288"/>
            </w:pPr>
            <w:r w:rsidRPr="00C3484D">
              <w:t>Re-admission rates</w:t>
            </w:r>
          </w:p>
          <w:p w14:paraId="5FDBF017" w14:textId="77777777" w:rsidR="00CB71B6" w:rsidRPr="00F4069C" w:rsidRDefault="00000000">
            <w:pPr>
              <w:pStyle w:val="GCEarial"/>
              <w:numPr>
                <w:ilvl w:val="0"/>
                <w:numId w:val="5"/>
              </w:numPr>
              <w:tabs>
                <w:tab w:val="clear" w:pos="360"/>
                <w:tab w:val="num" w:pos="290"/>
              </w:tabs>
              <w:ind w:left="288" w:hanging="288"/>
              <w:rPr>
                <w:rFonts w:ascii="Calibri" w:hAnsi="Calibri"/>
              </w:rPr>
            </w:pPr>
            <w:r w:rsidRPr="00C3484D">
              <w:t>Average length of stay</w:t>
            </w:r>
          </w:p>
        </w:tc>
        <w:tc>
          <w:tcPr>
            <w:tcW w:w="3330" w:type="dxa"/>
            <w:tcBorders>
              <w:bottom w:val="single" w:sz="4" w:space="0" w:color="293E6B"/>
            </w:tcBorders>
            <w:tcMar>
              <w:top w:w="101" w:type="dxa"/>
              <w:left w:w="160" w:type="dxa"/>
              <w:bottom w:w="83" w:type="dxa"/>
              <w:right w:w="160" w:type="dxa"/>
            </w:tcMar>
          </w:tcPr>
          <w:p w14:paraId="139683EA" w14:textId="77777777" w:rsidR="00CB71B6" w:rsidRPr="00C3484D" w:rsidRDefault="00000000">
            <w:pPr>
              <w:pStyle w:val="GCEarial"/>
              <w:numPr>
                <w:ilvl w:val="0"/>
                <w:numId w:val="4"/>
              </w:numPr>
              <w:tabs>
                <w:tab w:val="clear" w:pos="360"/>
                <w:tab w:val="num" w:pos="290"/>
              </w:tabs>
              <w:ind w:left="288" w:hanging="288"/>
            </w:pPr>
            <w:r w:rsidRPr="00C3484D">
              <w:t>Total margin</w:t>
            </w:r>
          </w:p>
          <w:p w14:paraId="104F6E85" w14:textId="77777777" w:rsidR="00CB71B6" w:rsidRPr="00C3484D" w:rsidRDefault="00000000">
            <w:pPr>
              <w:pStyle w:val="GCEarial"/>
              <w:numPr>
                <w:ilvl w:val="0"/>
                <w:numId w:val="4"/>
              </w:numPr>
              <w:tabs>
                <w:tab w:val="clear" w:pos="360"/>
                <w:tab w:val="num" w:pos="290"/>
              </w:tabs>
              <w:ind w:left="288" w:hanging="288"/>
            </w:pPr>
            <w:r w:rsidRPr="00C3484D">
              <w:t xml:space="preserve">Actual to expected cost per weighted case </w:t>
            </w:r>
          </w:p>
          <w:p w14:paraId="524F94DF" w14:textId="77777777" w:rsidR="00CB71B6" w:rsidRPr="00C3484D" w:rsidRDefault="00000000">
            <w:pPr>
              <w:pStyle w:val="GCEarial"/>
              <w:numPr>
                <w:ilvl w:val="0"/>
                <w:numId w:val="4"/>
              </w:numPr>
              <w:tabs>
                <w:tab w:val="clear" w:pos="360"/>
                <w:tab w:val="num" w:pos="290"/>
              </w:tabs>
              <w:ind w:left="288" w:hanging="288"/>
            </w:pPr>
            <w:r w:rsidRPr="00C3484D">
              <w:t>Administration as a percentage of total expenses</w:t>
            </w:r>
          </w:p>
          <w:p w14:paraId="520EFD76" w14:textId="77777777" w:rsidR="00CB71B6" w:rsidRPr="00F4069C" w:rsidRDefault="00000000">
            <w:pPr>
              <w:pStyle w:val="GCEarial"/>
              <w:numPr>
                <w:ilvl w:val="0"/>
                <w:numId w:val="4"/>
              </w:numPr>
              <w:tabs>
                <w:tab w:val="clear" w:pos="360"/>
                <w:tab w:val="num" w:pos="290"/>
              </w:tabs>
              <w:ind w:left="288" w:hanging="288"/>
              <w:rPr>
                <w:rFonts w:ascii="Calibri" w:hAnsi="Calibri"/>
              </w:rPr>
            </w:pPr>
            <w:r w:rsidRPr="00C3484D">
              <w:t>Current ratio</w:t>
            </w:r>
          </w:p>
        </w:tc>
      </w:tr>
      <w:tr w:rsidR="000915FC" w:rsidRPr="00F4069C" w14:paraId="33EA5E97" w14:textId="77777777" w:rsidTr="007C5D1E">
        <w:trPr>
          <w:trHeight w:val="267"/>
        </w:trPr>
        <w:tc>
          <w:tcPr>
            <w:tcW w:w="3240" w:type="dxa"/>
            <w:shd w:val="clear" w:color="auto" w:fill="EDEDF6"/>
            <w:tcMar>
              <w:top w:w="101" w:type="dxa"/>
              <w:left w:w="160" w:type="dxa"/>
              <w:bottom w:w="83" w:type="dxa"/>
              <w:right w:w="160" w:type="dxa"/>
            </w:tcMar>
            <w:vAlign w:val="center"/>
          </w:tcPr>
          <w:p w14:paraId="400292A8" w14:textId="77777777" w:rsidR="00CB71B6" w:rsidRPr="00C3484D" w:rsidRDefault="00000000" w:rsidP="000915FC">
            <w:pPr>
              <w:pStyle w:val="GCEarial"/>
              <w:jc w:val="center"/>
              <w:rPr>
                <w:rFonts w:ascii="Calibri" w:hAnsi="Calibri"/>
                <w:b/>
              </w:rPr>
            </w:pPr>
            <w:r w:rsidRPr="00C3484D">
              <w:rPr>
                <w:b/>
                <w:bCs/>
              </w:rPr>
              <w:t>Organizational Health</w:t>
            </w:r>
          </w:p>
        </w:tc>
        <w:tc>
          <w:tcPr>
            <w:tcW w:w="3330" w:type="dxa"/>
            <w:shd w:val="clear" w:color="auto" w:fill="EDEDF6"/>
            <w:tcMar>
              <w:top w:w="101" w:type="dxa"/>
              <w:left w:w="160" w:type="dxa"/>
              <w:bottom w:w="83" w:type="dxa"/>
              <w:right w:w="160" w:type="dxa"/>
            </w:tcMar>
            <w:vAlign w:val="center"/>
          </w:tcPr>
          <w:p w14:paraId="3DC1190A" w14:textId="77777777" w:rsidR="00CB71B6" w:rsidRPr="00C3484D" w:rsidRDefault="00000000" w:rsidP="000915FC">
            <w:pPr>
              <w:pStyle w:val="GCEarial"/>
              <w:jc w:val="center"/>
              <w:rPr>
                <w:rFonts w:ascii="Calibri" w:hAnsi="Calibri"/>
                <w:b/>
              </w:rPr>
            </w:pPr>
            <w:r w:rsidRPr="00C3484D">
              <w:rPr>
                <w:b/>
                <w:bCs/>
              </w:rPr>
              <w:t>Innovation and Development</w:t>
            </w:r>
          </w:p>
        </w:tc>
      </w:tr>
      <w:tr w:rsidR="000915FC" w:rsidRPr="00F4069C" w14:paraId="18BCA058" w14:textId="77777777">
        <w:trPr>
          <w:trHeight w:val="1382"/>
        </w:trPr>
        <w:tc>
          <w:tcPr>
            <w:tcW w:w="3240" w:type="dxa"/>
            <w:tcMar>
              <w:top w:w="101" w:type="dxa"/>
              <w:left w:w="160" w:type="dxa"/>
              <w:bottom w:w="83" w:type="dxa"/>
              <w:right w:w="160" w:type="dxa"/>
            </w:tcMar>
          </w:tcPr>
          <w:p w14:paraId="413B850C" w14:textId="77777777" w:rsidR="00CB71B6" w:rsidRPr="00C3484D" w:rsidRDefault="00000000">
            <w:pPr>
              <w:pStyle w:val="GCEarial"/>
              <w:numPr>
                <w:ilvl w:val="0"/>
                <w:numId w:val="7"/>
              </w:numPr>
              <w:tabs>
                <w:tab w:val="clear" w:pos="360"/>
                <w:tab w:val="num" w:pos="290"/>
              </w:tabs>
              <w:ind w:left="288" w:hanging="288"/>
            </w:pPr>
            <w:r w:rsidRPr="00C3484D">
              <w:t>Staff and physician satisfaction</w:t>
            </w:r>
          </w:p>
          <w:p w14:paraId="236BEE0F" w14:textId="77777777" w:rsidR="00CB71B6" w:rsidRPr="00C3484D" w:rsidRDefault="00000000">
            <w:pPr>
              <w:pStyle w:val="GCEarial"/>
              <w:numPr>
                <w:ilvl w:val="0"/>
                <w:numId w:val="7"/>
              </w:numPr>
              <w:tabs>
                <w:tab w:val="clear" w:pos="360"/>
                <w:tab w:val="num" w:pos="290"/>
              </w:tabs>
              <w:ind w:left="288" w:hanging="288"/>
            </w:pPr>
            <w:r w:rsidRPr="00C3484D">
              <w:t>Staff turnover</w:t>
            </w:r>
          </w:p>
          <w:p w14:paraId="7E9880F9" w14:textId="77777777" w:rsidR="00CB71B6" w:rsidRPr="00C3484D" w:rsidRDefault="00000000">
            <w:pPr>
              <w:pStyle w:val="GCEarial"/>
              <w:numPr>
                <w:ilvl w:val="0"/>
                <w:numId w:val="7"/>
              </w:numPr>
              <w:tabs>
                <w:tab w:val="clear" w:pos="360"/>
                <w:tab w:val="num" w:pos="290"/>
              </w:tabs>
              <w:ind w:left="288" w:hanging="288"/>
            </w:pPr>
            <w:r w:rsidRPr="00C3484D">
              <w:t>Safety record</w:t>
            </w:r>
          </w:p>
          <w:p w14:paraId="3B98D442" w14:textId="77777777" w:rsidR="00CB71B6" w:rsidRPr="00C3484D" w:rsidRDefault="00000000">
            <w:pPr>
              <w:pStyle w:val="GCEarial"/>
              <w:numPr>
                <w:ilvl w:val="0"/>
                <w:numId w:val="7"/>
              </w:numPr>
              <w:tabs>
                <w:tab w:val="clear" w:pos="360"/>
                <w:tab w:val="num" w:pos="290"/>
              </w:tabs>
              <w:ind w:left="288" w:hanging="288"/>
              <w:rPr>
                <w:rFonts w:ascii="Calibri" w:hAnsi="Calibri"/>
              </w:rPr>
            </w:pPr>
            <w:r w:rsidRPr="00C3484D">
              <w:t>Staff status (full time/part time nursing)</w:t>
            </w:r>
          </w:p>
        </w:tc>
        <w:tc>
          <w:tcPr>
            <w:tcW w:w="3330" w:type="dxa"/>
            <w:tcMar>
              <w:top w:w="101" w:type="dxa"/>
              <w:left w:w="160" w:type="dxa"/>
              <w:bottom w:w="83" w:type="dxa"/>
              <w:right w:w="160" w:type="dxa"/>
            </w:tcMar>
          </w:tcPr>
          <w:p w14:paraId="7113AEEE" w14:textId="77777777" w:rsidR="00CB71B6" w:rsidRPr="00C3484D" w:rsidRDefault="00000000">
            <w:pPr>
              <w:pStyle w:val="GCEarial"/>
              <w:numPr>
                <w:ilvl w:val="0"/>
                <w:numId w:val="6"/>
              </w:numPr>
              <w:tabs>
                <w:tab w:val="clear" w:pos="360"/>
                <w:tab w:val="num" w:pos="290"/>
              </w:tabs>
              <w:ind w:left="288" w:hanging="288"/>
            </w:pPr>
            <w:r w:rsidRPr="00C3484D">
              <w:t>Research funding</w:t>
            </w:r>
          </w:p>
          <w:p w14:paraId="1B2AE131" w14:textId="77777777" w:rsidR="00CB71B6" w:rsidRPr="00C3484D" w:rsidRDefault="00000000">
            <w:pPr>
              <w:pStyle w:val="GCEarial"/>
              <w:numPr>
                <w:ilvl w:val="0"/>
                <w:numId w:val="6"/>
              </w:numPr>
              <w:tabs>
                <w:tab w:val="clear" w:pos="360"/>
                <w:tab w:val="num" w:pos="290"/>
              </w:tabs>
              <w:ind w:left="288" w:hanging="288"/>
            </w:pPr>
            <w:r w:rsidRPr="00C3484D">
              <w:t>Increase in fundraising</w:t>
            </w:r>
          </w:p>
          <w:p w14:paraId="570DCA86" w14:textId="77777777" w:rsidR="00CB71B6" w:rsidRPr="00C3484D" w:rsidRDefault="00000000">
            <w:pPr>
              <w:pStyle w:val="GCEarial"/>
              <w:numPr>
                <w:ilvl w:val="0"/>
                <w:numId w:val="6"/>
              </w:numPr>
              <w:tabs>
                <w:tab w:val="clear" w:pos="360"/>
                <w:tab w:val="num" w:pos="290"/>
              </w:tabs>
              <w:ind w:left="288" w:hanging="288"/>
            </w:pPr>
            <w:r w:rsidRPr="00C3484D">
              <w:t xml:space="preserve">New programs launched </w:t>
            </w:r>
          </w:p>
          <w:p w14:paraId="471F5996" w14:textId="77777777" w:rsidR="00CB71B6" w:rsidRPr="00C3484D" w:rsidRDefault="00000000">
            <w:pPr>
              <w:pStyle w:val="GCEarial"/>
              <w:numPr>
                <w:ilvl w:val="0"/>
                <w:numId w:val="6"/>
              </w:numPr>
              <w:tabs>
                <w:tab w:val="clear" w:pos="360"/>
                <w:tab w:val="num" w:pos="290"/>
              </w:tabs>
              <w:ind w:left="288" w:hanging="288"/>
              <w:rPr>
                <w:rFonts w:ascii="Calibri" w:hAnsi="Calibri"/>
              </w:rPr>
            </w:pPr>
            <w:r w:rsidRPr="00C3484D">
              <w:t>Number of partnership or integration projects</w:t>
            </w:r>
          </w:p>
        </w:tc>
      </w:tr>
    </w:tbl>
    <w:p w14:paraId="17600313" w14:textId="77777777" w:rsidR="00CB71B6" w:rsidRDefault="00CB71B6" w:rsidP="000915FC">
      <w:pPr>
        <w:widowControl w:val="0"/>
        <w:tabs>
          <w:tab w:val="left" w:pos="360"/>
          <w:tab w:val="left" w:pos="720"/>
        </w:tabs>
        <w:suppressAutoHyphens/>
        <w:autoSpaceDE w:val="0"/>
        <w:autoSpaceDN w:val="0"/>
        <w:adjustRightInd w:val="0"/>
        <w:textAlignment w:val="center"/>
        <w:rPr>
          <w:rFonts w:ascii="Calibri" w:hAnsi="Calibri"/>
          <w:i/>
          <w:color w:val="000000"/>
          <w:sz w:val="22"/>
        </w:rPr>
      </w:pPr>
    </w:p>
    <w:p w14:paraId="59629EBB" w14:textId="77777777" w:rsidR="00CB71B6" w:rsidRPr="00540B2A" w:rsidRDefault="00CB71B6" w:rsidP="000915FC">
      <w:pPr>
        <w:pStyle w:val="GCEarial"/>
      </w:pPr>
    </w:p>
    <w:p w14:paraId="377059EE" w14:textId="77777777" w:rsidR="00CB71B6" w:rsidRPr="00540B2A" w:rsidRDefault="00CB71B6" w:rsidP="000915FC">
      <w:pPr>
        <w:pStyle w:val="GCEarial"/>
      </w:pPr>
    </w:p>
    <w:p w14:paraId="6C36CBCF" w14:textId="77777777" w:rsidR="00CB71B6" w:rsidRPr="00540B2A" w:rsidRDefault="00CB71B6" w:rsidP="000915FC">
      <w:pPr>
        <w:pStyle w:val="GCEarial"/>
      </w:pPr>
    </w:p>
    <w:p w14:paraId="0D35C7ED" w14:textId="77777777" w:rsidR="00CB71B6" w:rsidRPr="00540B2A" w:rsidRDefault="00CB71B6" w:rsidP="000915FC">
      <w:pPr>
        <w:pStyle w:val="GCEarial"/>
      </w:pPr>
    </w:p>
    <w:p w14:paraId="63438F02" w14:textId="77777777" w:rsidR="00CB71B6" w:rsidRPr="00540B2A" w:rsidRDefault="00CB71B6" w:rsidP="000915FC">
      <w:pPr>
        <w:pStyle w:val="GCEarial"/>
      </w:pPr>
    </w:p>
    <w:p w14:paraId="0426B4F7" w14:textId="0A5CCA61" w:rsidR="00CB71B6" w:rsidRPr="00F062E0" w:rsidRDefault="00000000" w:rsidP="000915FC">
      <w:pPr>
        <w:pStyle w:val="GCEarial"/>
        <w:rPr>
          <w:b/>
          <w:color w:val="5251A2"/>
        </w:rPr>
      </w:pPr>
      <w:r w:rsidRPr="00546FB7">
        <w:rPr>
          <w:b/>
          <w:color w:val="5251A2"/>
        </w:rPr>
        <w:lastRenderedPageBreak/>
        <w:t>Balanced Scorecard Approach</w:t>
      </w:r>
      <w:r w:rsidRPr="00546FB7">
        <w:rPr>
          <w:b/>
          <w:color w:val="5251A2"/>
        </w:rPr>
        <w:br/>
      </w:r>
    </w:p>
    <w:p w14:paraId="5BF92D90" w14:textId="71EA415E" w:rsidR="00CB71B6" w:rsidRPr="00540B2A" w:rsidRDefault="00F062E0" w:rsidP="00F062E0">
      <w:pPr>
        <w:pStyle w:val="GCEarial"/>
        <w:jc w:val="center"/>
      </w:pPr>
      <w:r>
        <w:rPr>
          <w:noProof/>
        </w:rPr>
        <w:drawing>
          <wp:inline distT="0" distB="0" distL="0" distR="0" wp14:anchorId="42DAB29A" wp14:editId="75559290">
            <wp:extent cx="6943061" cy="4524242"/>
            <wp:effectExtent l="0" t="0" r="4445" b="0"/>
            <wp:docPr id="13691537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153700" name="Picture 1369153700"/>
                    <pic:cNvPicPr/>
                  </pic:nvPicPr>
                  <pic:blipFill rotWithShape="1">
                    <a:blip r:embed="rId7"/>
                    <a:srcRect l="5303" r="455"/>
                    <a:stretch/>
                  </pic:blipFill>
                  <pic:spPr bwMode="auto">
                    <a:xfrm>
                      <a:off x="0" y="0"/>
                      <a:ext cx="7012141" cy="4569256"/>
                    </a:xfrm>
                    <a:prstGeom prst="rect">
                      <a:avLst/>
                    </a:prstGeom>
                    <a:ln>
                      <a:noFill/>
                    </a:ln>
                    <a:extLst>
                      <a:ext uri="{53640926-AAD7-44D8-BBD7-CCE9431645EC}">
                        <a14:shadowObscured xmlns:a14="http://schemas.microsoft.com/office/drawing/2010/main"/>
                      </a:ext>
                    </a:extLst>
                  </pic:spPr>
                </pic:pic>
              </a:graphicData>
            </a:graphic>
          </wp:inline>
        </w:drawing>
      </w:r>
    </w:p>
    <w:p w14:paraId="0BF1609C" w14:textId="24CCB006" w:rsidR="00CB71B6" w:rsidRPr="00546FB7" w:rsidRDefault="00F062E0" w:rsidP="000915FC">
      <w:pPr>
        <w:rPr>
          <w:rFonts w:ascii="Arial" w:hAnsi="Arial"/>
          <w:b/>
          <w:color w:val="5251A2"/>
          <w:sz w:val="20"/>
        </w:rPr>
      </w:pPr>
      <w:r>
        <w:rPr>
          <w:rFonts w:ascii="Arial" w:hAnsi="Arial"/>
          <w:b/>
          <w:color w:val="5251A2"/>
          <w:sz w:val="20"/>
        </w:rPr>
        <w:br/>
      </w:r>
      <w:r w:rsidRPr="00546FB7">
        <w:rPr>
          <w:rFonts w:ascii="Arial" w:hAnsi="Arial"/>
          <w:b/>
          <w:color w:val="5251A2"/>
          <w:sz w:val="20"/>
        </w:rPr>
        <w:t>Other Examples</w:t>
      </w:r>
    </w:p>
    <w:p w14:paraId="4613F0ED" w14:textId="77777777" w:rsidR="00CB71B6" w:rsidRPr="000915FC" w:rsidRDefault="00CB71B6" w:rsidP="000915FC">
      <w:pPr>
        <w:rPr>
          <w:rFonts w:ascii="Arial" w:hAnsi="Arial"/>
          <w:b/>
          <w:color w:val="000000"/>
          <w:sz w:val="20"/>
        </w:rPr>
      </w:pPr>
    </w:p>
    <w:p w14:paraId="7A2ACF89" w14:textId="77777777" w:rsidR="00FB31B9" w:rsidRDefault="00FB31B9" w:rsidP="00FB31B9">
      <w:pPr>
        <w:pStyle w:val="GCEarial"/>
      </w:pPr>
      <w:r w:rsidRPr="00FB31B9">
        <w:t xml:space="preserve">There are </w:t>
      </w:r>
      <w:proofErr w:type="gramStart"/>
      <w:r w:rsidRPr="00FB31B9">
        <w:t>a number of</w:t>
      </w:r>
      <w:proofErr w:type="gramEnd"/>
      <w:r w:rsidRPr="00FB31B9">
        <w:t xml:space="preserve"> examples of these performance reporting tools in the following forms.</w:t>
      </w:r>
    </w:p>
    <w:p w14:paraId="609CB9F4" w14:textId="77777777" w:rsidR="00FB31B9" w:rsidRPr="00FB31B9" w:rsidRDefault="00FB31B9" w:rsidP="00FB31B9">
      <w:pPr>
        <w:pStyle w:val="GCEarial"/>
      </w:pPr>
    </w:p>
    <w:p w14:paraId="5768BE1E" w14:textId="77777777" w:rsidR="00FB31B9" w:rsidRPr="00FB31B9" w:rsidRDefault="00FB31B9" w:rsidP="00FB31B9">
      <w:pPr>
        <w:pStyle w:val="GCEarial"/>
      </w:pPr>
      <w:r w:rsidRPr="00FB31B9">
        <w:t xml:space="preserve">See </w:t>
      </w:r>
      <w:r w:rsidRPr="00FB31B9">
        <w:rPr>
          <w:i/>
          <w:iCs/>
        </w:rPr>
        <w:t>Form 3.2: Balanced Scorecard and Dashboard Approach</w:t>
      </w:r>
    </w:p>
    <w:p w14:paraId="68526EC5" w14:textId="77777777" w:rsidR="00FB31B9" w:rsidRPr="00FB31B9" w:rsidRDefault="00FB31B9" w:rsidP="00FB31B9">
      <w:pPr>
        <w:pStyle w:val="GCEarial"/>
        <w:rPr>
          <w:i/>
          <w:iCs/>
        </w:rPr>
      </w:pPr>
      <w:r w:rsidRPr="00FB31B9">
        <w:t xml:space="preserve">See </w:t>
      </w:r>
      <w:r w:rsidRPr="00FB31B9">
        <w:rPr>
          <w:i/>
          <w:iCs/>
        </w:rPr>
        <w:t>Form 3.3: Quality Measures Dashboard</w:t>
      </w:r>
    </w:p>
    <w:p w14:paraId="53CA8714" w14:textId="77777777" w:rsidR="00CB71B6" w:rsidRPr="00540B2A" w:rsidRDefault="00CB71B6" w:rsidP="000915FC">
      <w:pPr>
        <w:pStyle w:val="GCEarial"/>
      </w:pPr>
    </w:p>
    <w:sectPr w:rsidR="00CB71B6" w:rsidRPr="00540B2A" w:rsidSect="000915FC">
      <w:footerReference w:type="even" r:id="rId8"/>
      <w:footerReference w:type="default" r:id="rId9"/>
      <w:pgSz w:w="12240" w:h="15840"/>
      <w:pgMar w:top="720" w:right="936" w:bottom="1080" w:left="936"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32D07" w14:textId="77777777" w:rsidR="00592AC9" w:rsidRDefault="00592AC9">
      <w:r>
        <w:separator/>
      </w:r>
    </w:p>
  </w:endnote>
  <w:endnote w:type="continuationSeparator" w:id="0">
    <w:p w14:paraId="334F4B55" w14:textId="77777777" w:rsidR="00592AC9" w:rsidRDefault="0059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03000000" w:usb1="00000000" w:usb2="00000000" w:usb3="00000000" w:csb0="00000001" w:csb1="00000000"/>
  </w:font>
  <w:font w:name="Times-Roman">
    <w:altName w:val="Times New Roman"/>
    <w:panose1 w:val="020B06040202020202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MT">
    <w:altName w:val="DokChampa"/>
    <w:panose1 w:val="020B0604020202020204"/>
    <w:charset w:val="4D"/>
    <w:family w:val="auto"/>
    <w:notTrueType/>
    <w:pitch w:val="default"/>
    <w:sig w:usb0="03000000"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Italic">
    <w:altName w:val="Times New Roman"/>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MT">
    <w:altName w:val="Arial"/>
    <w:panose1 w:val="020B0604020202020204"/>
    <w:charset w:val="4D"/>
    <w:family w:val="auto"/>
    <w:pitch w:val="default"/>
    <w:sig w:usb0="03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823D1" w14:textId="77777777" w:rsidR="00CB71B6" w:rsidRDefault="00000000" w:rsidP="000915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F2D2F5" w14:textId="77777777" w:rsidR="00CB71B6" w:rsidRDefault="00CB7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605D5" w14:textId="77777777" w:rsidR="00CB71B6" w:rsidRPr="00DC51D6" w:rsidRDefault="00000000" w:rsidP="000915FC">
    <w:pPr>
      <w:framePr w:wrap="around" w:vAnchor="text" w:hAnchor="margin" w:xAlign="center" w:y="1"/>
      <w:rPr>
        <w:rFonts w:ascii="Arial" w:hAnsi="Arial"/>
        <w:sz w:val="16"/>
      </w:rPr>
    </w:pPr>
    <w:r w:rsidRPr="00DC51D6">
      <w:rPr>
        <w:sz w:val="16"/>
      </w:rPr>
      <w:fldChar w:fldCharType="begin"/>
    </w:r>
    <w:r w:rsidRPr="00DC51D6">
      <w:rPr>
        <w:rFonts w:ascii="Arial" w:hAnsi="Arial"/>
        <w:sz w:val="16"/>
      </w:rPr>
      <w:instrText xml:space="preserve"> PAGE </w:instrText>
    </w:r>
    <w:r w:rsidRPr="00DC51D6">
      <w:rPr>
        <w:sz w:val="16"/>
      </w:rPr>
      <w:fldChar w:fldCharType="separate"/>
    </w:r>
    <w:r w:rsidRPr="00DC51D6">
      <w:rPr>
        <w:rFonts w:ascii="Arial" w:hAnsi="Arial"/>
        <w:noProof/>
        <w:sz w:val="16"/>
      </w:rPr>
      <w:t>1</w:t>
    </w:r>
    <w:r w:rsidRPr="00DC51D6">
      <w:rPr>
        <w:sz w:val="16"/>
      </w:rPr>
      <w:fldChar w:fldCharType="end"/>
    </w:r>
    <w:r w:rsidRPr="00DC51D6">
      <w:rPr>
        <w:rFonts w:ascii="Arial" w:hAnsi="Arial"/>
        <w:sz w:val="16"/>
      </w:rPr>
      <w:t xml:space="preserve"> of </w:t>
    </w:r>
    <w:r w:rsidRPr="00DC51D6">
      <w:rPr>
        <w:sz w:val="16"/>
      </w:rPr>
      <w:fldChar w:fldCharType="begin"/>
    </w:r>
    <w:r w:rsidRPr="00DC51D6">
      <w:rPr>
        <w:rFonts w:ascii="Arial" w:hAnsi="Arial"/>
        <w:sz w:val="16"/>
      </w:rPr>
      <w:instrText xml:space="preserve"> NUMPAGES  </w:instrText>
    </w:r>
    <w:r w:rsidRPr="00DC51D6">
      <w:rPr>
        <w:sz w:val="16"/>
      </w:rPr>
      <w:fldChar w:fldCharType="separate"/>
    </w:r>
    <w:r w:rsidRPr="00DC51D6">
      <w:rPr>
        <w:rFonts w:ascii="Arial" w:hAnsi="Arial"/>
        <w:noProof/>
        <w:sz w:val="16"/>
      </w:rPr>
      <w:t>3</w:t>
    </w:r>
    <w:r w:rsidRPr="00DC51D6">
      <w:rPr>
        <w:sz w:val="16"/>
      </w:rPr>
      <w:fldChar w:fldCharType="end"/>
    </w:r>
  </w:p>
  <w:p w14:paraId="50BAAEA5" w14:textId="77777777" w:rsidR="00CB71B6" w:rsidRPr="007C1328" w:rsidRDefault="00CB71B6" w:rsidP="000915FC">
    <w:pPr>
      <w:widowControl w:val="0"/>
      <w:autoSpaceDE w:val="0"/>
      <w:autoSpaceDN w:val="0"/>
      <w:adjustRightInd w:val="0"/>
      <w:spacing w:line="288" w:lineRule="auto"/>
      <w:jc w:val="center"/>
      <w:textAlignment w:val="center"/>
      <w:rPr>
        <w:rFonts w:ascii="ArialMT" w:hAnsi="ArialMT"/>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1E007" w14:textId="77777777" w:rsidR="00592AC9" w:rsidRDefault="00592AC9">
      <w:r>
        <w:separator/>
      </w:r>
    </w:p>
  </w:footnote>
  <w:footnote w:type="continuationSeparator" w:id="0">
    <w:p w14:paraId="4A296B8A" w14:textId="77777777" w:rsidR="00592AC9" w:rsidRDefault="00592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90154"/>
    <w:multiLevelType w:val="hybridMultilevel"/>
    <w:tmpl w:val="2B24562E"/>
    <w:lvl w:ilvl="0" w:tplc="18D23E7A">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7F4D81"/>
    <w:multiLevelType w:val="hybridMultilevel"/>
    <w:tmpl w:val="61268490"/>
    <w:lvl w:ilvl="0" w:tplc="FFFFFFFF">
      <w:start w:val="1"/>
      <w:numFmt w:val="bullet"/>
      <w:pStyle w:val="BulletZero"/>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431363F"/>
    <w:multiLevelType w:val="hybridMultilevel"/>
    <w:tmpl w:val="A04864C0"/>
    <w:lvl w:ilvl="0" w:tplc="18D23E7A">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FD3FE7"/>
    <w:multiLevelType w:val="multilevel"/>
    <w:tmpl w:val="BAE2EF3A"/>
    <w:lvl w:ilvl="0">
      <w:start w:val="1"/>
      <w:numFmt w:val="bullet"/>
      <w:pStyle w:val="BulletedList1"/>
      <w:lvlText w:val=""/>
      <w:lvlJc w:val="left"/>
      <w:pPr>
        <w:tabs>
          <w:tab w:val="num" w:pos="720"/>
        </w:tabs>
        <w:ind w:left="720" w:hanging="720"/>
      </w:pPr>
      <w:rPr>
        <w:rFonts w:ascii="Symbol" w:hAnsi="Symbol" w:hint="default"/>
      </w:rPr>
    </w:lvl>
    <w:lvl w:ilvl="1">
      <w:start w:val="1"/>
      <w:numFmt w:val="bullet"/>
      <w:pStyle w:val="BulletedList2"/>
      <w:lvlText w:val=""/>
      <w:lvlJc w:val="left"/>
      <w:pPr>
        <w:tabs>
          <w:tab w:val="num" w:pos="1440"/>
        </w:tabs>
        <w:ind w:left="1440" w:hanging="720"/>
      </w:pPr>
      <w:rPr>
        <w:rFonts w:ascii="Symbol" w:hAnsi="Symbol" w:hint="default"/>
      </w:rPr>
    </w:lvl>
    <w:lvl w:ilvl="2">
      <w:start w:val="1"/>
      <w:numFmt w:val="bullet"/>
      <w:pStyle w:val="BulletedList3"/>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5760"/>
        </w:tabs>
        <w:ind w:left="5760" w:hanging="720"/>
      </w:pPr>
      <w:rPr>
        <w:rFonts w:ascii="Symbol" w:hAnsi="Symbol" w:hint="default"/>
      </w:rPr>
    </w:lvl>
  </w:abstractNum>
  <w:abstractNum w:abstractNumId="4" w15:restartNumberingAfterBreak="0">
    <w:nsid w:val="3B027A6C"/>
    <w:multiLevelType w:val="hybridMultilevel"/>
    <w:tmpl w:val="CD141CD2"/>
    <w:lvl w:ilvl="0" w:tplc="18D23E7A">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C23A46"/>
    <w:multiLevelType w:val="hybridMultilevel"/>
    <w:tmpl w:val="91946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41061"/>
    <w:multiLevelType w:val="hybridMultilevel"/>
    <w:tmpl w:val="3598790C"/>
    <w:lvl w:ilvl="0" w:tplc="18D23E7A">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5623CF"/>
    <w:multiLevelType w:val="multilevel"/>
    <w:tmpl w:val="3FFE49A6"/>
    <w:lvl w:ilvl="0">
      <w:start w:val="1"/>
      <w:numFmt w:val="decimal"/>
      <w:pStyle w:val="BordenLevel1"/>
      <w:lvlText w:val="%1."/>
      <w:lvlJc w:val="left"/>
      <w:pPr>
        <w:tabs>
          <w:tab w:val="num" w:pos="720"/>
        </w:tabs>
        <w:ind w:left="720" w:hanging="720"/>
      </w:pPr>
      <w:rPr>
        <w:rFonts w:hint="default"/>
      </w:rPr>
    </w:lvl>
    <w:lvl w:ilvl="1">
      <w:start w:val="1"/>
      <w:numFmt w:val="lowerLetter"/>
      <w:pStyle w:val="BordenLevel2"/>
      <w:lvlText w:val="(%2)"/>
      <w:lvlJc w:val="left"/>
      <w:pPr>
        <w:tabs>
          <w:tab w:val="num" w:pos="1440"/>
        </w:tabs>
        <w:ind w:left="1440" w:hanging="720"/>
      </w:pPr>
      <w:rPr>
        <w:rFonts w:hint="default"/>
      </w:rPr>
    </w:lvl>
    <w:lvl w:ilvl="2">
      <w:start w:val="1"/>
      <w:numFmt w:val="lowerRoman"/>
      <w:pStyle w:val="BordenLevel3"/>
      <w:lvlText w:val="(%3)"/>
      <w:lvlJc w:val="left"/>
      <w:pPr>
        <w:tabs>
          <w:tab w:val="num" w:pos="2520"/>
        </w:tabs>
        <w:ind w:left="2160" w:hanging="720"/>
      </w:pPr>
      <w:rPr>
        <w:rFonts w:hint="default"/>
      </w:rPr>
    </w:lvl>
    <w:lvl w:ilvl="3">
      <w:start w:val="1"/>
      <w:numFmt w:val="decimal"/>
      <w:pStyle w:val="BordenLevel4"/>
      <w:lvlText w:val="(%4)"/>
      <w:lvlJc w:val="left"/>
      <w:pPr>
        <w:tabs>
          <w:tab w:val="num" w:pos="2880"/>
        </w:tabs>
        <w:ind w:left="2880" w:hanging="720"/>
      </w:pPr>
      <w:rPr>
        <w:rFonts w:hint="default"/>
      </w:rPr>
    </w:lvl>
    <w:lvl w:ilvl="4">
      <w:start w:val="1"/>
      <w:numFmt w:val="lowerLetter"/>
      <w:pStyle w:val="BordenLevel5"/>
      <w:lvlText w:val="(%5)"/>
      <w:lvlJc w:val="left"/>
      <w:pPr>
        <w:tabs>
          <w:tab w:val="num" w:pos="3600"/>
        </w:tabs>
        <w:ind w:left="3600" w:hanging="720"/>
      </w:pPr>
      <w:rPr>
        <w:rFonts w:hint="default"/>
      </w:rPr>
    </w:lvl>
    <w:lvl w:ilvl="5">
      <w:start w:val="1"/>
      <w:numFmt w:val="lowerRoman"/>
      <w:pStyle w:val="BordenLevel6"/>
      <w:lvlText w:val="(%6)"/>
      <w:lvlJc w:val="left"/>
      <w:pPr>
        <w:tabs>
          <w:tab w:val="num" w:pos="4680"/>
        </w:tabs>
        <w:ind w:left="4320" w:hanging="720"/>
      </w:pPr>
      <w:rPr>
        <w:rFonts w:hint="default"/>
      </w:rPr>
    </w:lvl>
    <w:lvl w:ilvl="6">
      <w:start w:val="1"/>
      <w:numFmt w:val="decimal"/>
      <w:pStyle w:val="BordenLevel7"/>
      <w:lvlText w:val="%7)"/>
      <w:lvlJc w:val="left"/>
      <w:pPr>
        <w:tabs>
          <w:tab w:val="num" w:pos="5040"/>
        </w:tabs>
        <w:ind w:left="5040" w:hanging="720"/>
      </w:pPr>
      <w:rPr>
        <w:rFonts w:hint="default"/>
      </w:rPr>
    </w:lvl>
    <w:lvl w:ilvl="7">
      <w:start w:val="1"/>
      <w:numFmt w:val="lowerLetter"/>
      <w:pStyle w:val="BordenLevel8"/>
      <w:lvlText w:val="%8)"/>
      <w:lvlJc w:val="left"/>
      <w:pPr>
        <w:tabs>
          <w:tab w:val="num" w:pos="5760"/>
        </w:tabs>
        <w:ind w:left="5760" w:hanging="720"/>
      </w:pPr>
      <w:rPr>
        <w:rFonts w:hint="default"/>
      </w:rPr>
    </w:lvl>
    <w:lvl w:ilvl="8">
      <w:start w:val="1"/>
      <w:numFmt w:val="lowerRoman"/>
      <w:pStyle w:val="BordenLevel9"/>
      <w:lvlText w:val="%9)"/>
      <w:lvlJc w:val="left"/>
      <w:pPr>
        <w:tabs>
          <w:tab w:val="num" w:pos="6480"/>
        </w:tabs>
        <w:ind w:left="6480" w:hanging="720"/>
      </w:pPr>
      <w:rPr>
        <w:rFonts w:hint="default"/>
      </w:rPr>
    </w:lvl>
  </w:abstractNum>
  <w:abstractNum w:abstractNumId="8" w15:restartNumberingAfterBreak="0">
    <w:nsid w:val="6803172A"/>
    <w:multiLevelType w:val="hybridMultilevel"/>
    <w:tmpl w:val="B05C48F4"/>
    <w:lvl w:ilvl="0" w:tplc="000F0409">
      <w:start w:val="1"/>
      <w:numFmt w:val="decimal"/>
      <w:lvlText w:val="%1."/>
      <w:lvlJc w:val="left"/>
      <w:pPr>
        <w:tabs>
          <w:tab w:val="num" w:pos="360"/>
        </w:tabs>
        <w:ind w:left="36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8A1DDE"/>
    <w:multiLevelType w:val="hybridMultilevel"/>
    <w:tmpl w:val="207E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5D61A1"/>
    <w:multiLevelType w:val="hybridMultilevel"/>
    <w:tmpl w:val="6BE2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2713712">
    <w:abstractNumId w:val="3"/>
  </w:num>
  <w:num w:numId="2" w16cid:durableId="786705470">
    <w:abstractNumId w:val="7"/>
  </w:num>
  <w:num w:numId="3" w16cid:durableId="1330861780">
    <w:abstractNumId w:val="8"/>
  </w:num>
  <w:num w:numId="4" w16cid:durableId="169371427">
    <w:abstractNumId w:val="4"/>
  </w:num>
  <w:num w:numId="5" w16cid:durableId="1868829301">
    <w:abstractNumId w:val="0"/>
  </w:num>
  <w:num w:numId="6" w16cid:durableId="1406994611">
    <w:abstractNumId w:val="6"/>
  </w:num>
  <w:num w:numId="7" w16cid:durableId="2062366948">
    <w:abstractNumId w:val="2"/>
  </w:num>
  <w:num w:numId="8" w16cid:durableId="759913099">
    <w:abstractNumId w:val="1"/>
  </w:num>
  <w:num w:numId="9" w16cid:durableId="1885872756">
    <w:abstractNumId w:val="9"/>
  </w:num>
  <w:num w:numId="10" w16cid:durableId="267130460">
    <w:abstractNumId w:val="10"/>
  </w:num>
  <w:num w:numId="11" w16cid:durableId="110777075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08"/>
    <w:rsid w:val="000B7661"/>
    <w:rsid w:val="002C25FB"/>
    <w:rsid w:val="00546FB7"/>
    <w:rsid w:val="00592AC9"/>
    <w:rsid w:val="00760097"/>
    <w:rsid w:val="007C5D1E"/>
    <w:rsid w:val="00933247"/>
    <w:rsid w:val="00CB71B6"/>
    <w:rsid w:val="00D403AA"/>
    <w:rsid w:val="00F062E0"/>
    <w:rsid w:val="00F4305A"/>
    <w:rsid w:val="00F57FF5"/>
    <w:rsid w:val="00FB31B9"/>
    <w:rsid w:val="00FE78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EEBBCB6"/>
  <w15:chartTrackingRefBased/>
  <w15:docId w15:val="{5014B1DD-C84C-454C-A4AC-2F69A7DB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rsid w:val="007C1328"/>
    <w:pPr>
      <w:keepNext/>
      <w:spacing w:before="240" w:after="60"/>
      <w:outlineLvl w:val="0"/>
    </w:pPr>
    <w:rPr>
      <w:rFonts w:ascii="Arial" w:hAnsi="Arial"/>
      <w:b/>
      <w:kern w:val="32"/>
      <w:sz w:val="32"/>
      <w:szCs w:val="32"/>
    </w:rPr>
  </w:style>
  <w:style w:type="paragraph" w:styleId="Heading2">
    <w:name w:val="heading 2"/>
    <w:aliases w:val="GCE subtitle italics"/>
    <w:basedOn w:val="Normal"/>
    <w:next w:val="Normal"/>
    <w:qFormat/>
    <w:rsid w:val="000C082F"/>
    <w:pPr>
      <w:keepNext/>
      <w:suppressAutoHyphens/>
      <w:spacing w:before="120" w:after="120"/>
      <w:outlineLvl w:val="1"/>
    </w:pPr>
    <w:rPr>
      <w:rFonts w:ascii="Arial" w:hAnsi="Arial"/>
      <w:b/>
      <w:i/>
      <w:szCs w:val="28"/>
    </w:rPr>
  </w:style>
  <w:style w:type="paragraph" w:styleId="Heading3">
    <w:name w:val="heading 3"/>
    <w:aliases w:val="GCE subtitles"/>
    <w:basedOn w:val="Normal"/>
    <w:next w:val="Normal"/>
    <w:qFormat/>
    <w:rsid w:val="000C082F"/>
    <w:pPr>
      <w:keepNext/>
      <w:suppressAutoHyphens/>
      <w:spacing w:before="240" w:after="60"/>
      <w:outlineLvl w:val="2"/>
    </w:pPr>
    <w:rPr>
      <w:rFonts w:ascii="Arial Bold" w:hAnsi="Arial Bold"/>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1328"/>
    <w:pPr>
      <w:tabs>
        <w:tab w:val="center" w:pos="4320"/>
        <w:tab w:val="right" w:pos="8640"/>
      </w:tabs>
    </w:pPr>
  </w:style>
  <w:style w:type="paragraph" w:styleId="Footer">
    <w:name w:val="footer"/>
    <w:basedOn w:val="Normal"/>
    <w:semiHidden/>
    <w:rsid w:val="007C1328"/>
    <w:pPr>
      <w:tabs>
        <w:tab w:val="center" w:pos="4320"/>
        <w:tab w:val="right" w:pos="8640"/>
      </w:tabs>
    </w:pPr>
  </w:style>
  <w:style w:type="paragraph" w:customStyle="1" w:styleId="NormalParagraphStyle">
    <w:name w:val="NormalParagraphStyle"/>
    <w:basedOn w:val="Normal"/>
    <w:rsid w:val="000C082F"/>
    <w:pPr>
      <w:widowControl w:val="0"/>
      <w:autoSpaceDE w:val="0"/>
      <w:autoSpaceDN w:val="0"/>
      <w:adjustRightInd w:val="0"/>
      <w:spacing w:line="288" w:lineRule="auto"/>
      <w:textAlignment w:val="center"/>
    </w:pPr>
    <w:rPr>
      <w:rFonts w:ascii="Times-Roman" w:hAnsi="Times-Roman"/>
      <w:color w:val="000000"/>
    </w:rPr>
  </w:style>
  <w:style w:type="paragraph" w:styleId="Title">
    <w:name w:val="Title"/>
    <w:aliases w:val="Level 2"/>
    <w:basedOn w:val="Normal"/>
    <w:next w:val="Normal"/>
    <w:qFormat/>
    <w:rsid w:val="007D6E0A"/>
    <w:pPr>
      <w:widowControl w:val="0"/>
      <w:tabs>
        <w:tab w:val="left" w:pos="360"/>
        <w:tab w:val="left" w:pos="720"/>
      </w:tabs>
      <w:suppressAutoHyphens/>
      <w:autoSpaceDE w:val="0"/>
      <w:autoSpaceDN w:val="0"/>
      <w:adjustRightInd w:val="0"/>
      <w:spacing w:line="280" w:lineRule="atLeast"/>
      <w:jc w:val="both"/>
      <w:textAlignment w:val="center"/>
      <w:outlineLvl w:val="1"/>
    </w:pPr>
    <w:rPr>
      <w:rFonts w:ascii="Book Antiqua" w:hAnsi="Book Antiqua"/>
      <w:b/>
      <w:color w:val="0070C0"/>
      <w:sz w:val="28"/>
      <w:szCs w:val="28"/>
      <w:lang w:val="x-none" w:bidi="en-US"/>
    </w:rPr>
  </w:style>
  <w:style w:type="character" w:styleId="PageNumber">
    <w:name w:val="page number"/>
    <w:basedOn w:val="DefaultParagraphFont"/>
    <w:rsid w:val="007C1328"/>
  </w:style>
  <w:style w:type="paragraph" w:styleId="BodyText">
    <w:name w:val="Body Text"/>
    <w:aliases w:val="BT"/>
    <w:basedOn w:val="Normal"/>
    <w:rsid w:val="00822AE8"/>
    <w:pPr>
      <w:widowControl w:val="0"/>
      <w:suppressAutoHyphens/>
      <w:autoSpaceDE w:val="0"/>
      <w:autoSpaceDN w:val="0"/>
      <w:adjustRightInd w:val="0"/>
      <w:spacing w:after="240" w:line="288" w:lineRule="auto"/>
      <w:jc w:val="both"/>
      <w:textAlignment w:val="center"/>
    </w:pPr>
    <w:rPr>
      <w:rFonts w:ascii="TimesNewRomanPSMT" w:hAnsi="TimesNewRomanPSMT"/>
      <w:color w:val="000000"/>
    </w:rPr>
  </w:style>
  <w:style w:type="paragraph" w:styleId="BalloonText">
    <w:name w:val="Balloon Text"/>
    <w:basedOn w:val="Normal"/>
    <w:semiHidden/>
    <w:rsid w:val="00822AE8"/>
    <w:rPr>
      <w:rFonts w:ascii="Lucida Grande" w:hAnsi="Lucida Grande"/>
      <w:sz w:val="18"/>
      <w:szCs w:val="18"/>
    </w:rPr>
  </w:style>
  <w:style w:type="paragraph" w:customStyle="1" w:styleId="GCEarial">
    <w:name w:val="GCE arial"/>
    <w:rsid w:val="000C082F"/>
    <w:pPr>
      <w:suppressAutoHyphens/>
      <w:spacing w:line="300" w:lineRule="auto"/>
    </w:pPr>
    <w:rPr>
      <w:rFonts w:ascii="Arial" w:hAnsi="Arial" w:cs="Times-Italic"/>
      <w:color w:val="000000"/>
      <w:szCs w:val="24"/>
      <w:lang w:val="en-US" w:bidi="en-US"/>
    </w:rPr>
  </w:style>
  <w:style w:type="paragraph" w:customStyle="1" w:styleId="BasicParagraph">
    <w:name w:val="[Basic Paragraph]"/>
    <w:basedOn w:val="Normal"/>
    <w:rsid w:val="007D6E0A"/>
    <w:pPr>
      <w:widowControl w:val="0"/>
      <w:autoSpaceDE w:val="0"/>
      <w:autoSpaceDN w:val="0"/>
      <w:adjustRightInd w:val="0"/>
      <w:spacing w:line="288" w:lineRule="auto"/>
      <w:textAlignment w:val="center"/>
    </w:pPr>
    <w:rPr>
      <w:rFonts w:ascii="Times-Italic" w:hAnsi="Times-Italic" w:cs="Times-Italic"/>
      <w:color w:val="000000"/>
      <w:lang w:bidi="en-US"/>
    </w:rPr>
  </w:style>
  <w:style w:type="paragraph" w:styleId="Subtitle">
    <w:name w:val="Subtitle"/>
    <w:aliases w:val="Level 3"/>
    <w:basedOn w:val="Normal"/>
    <w:next w:val="Normal"/>
    <w:qFormat/>
    <w:rsid w:val="007D6E0A"/>
    <w:pPr>
      <w:widowControl w:val="0"/>
      <w:tabs>
        <w:tab w:val="left" w:pos="360"/>
        <w:tab w:val="left" w:pos="720"/>
      </w:tabs>
      <w:suppressAutoHyphens/>
      <w:autoSpaceDE w:val="0"/>
      <w:autoSpaceDN w:val="0"/>
      <w:adjustRightInd w:val="0"/>
      <w:spacing w:line="280" w:lineRule="atLeast"/>
      <w:jc w:val="both"/>
      <w:textAlignment w:val="center"/>
      <w:outlineLvl w:val="2"/>
    </w:pPr>
    <w:rPr>
      <w:rFonts w:ascii="Calibri" w:hAnsi="Calibri"/>
      <w:color w:val="0070C0"/>
      <w:sz w:val="28"/>
      <w:lang w:val="x-none" w:bidi="en-US"/>
    </w:rPr>
  </w:style>
  <w:style w:type="paragraph" w:customStyle="1" w:styleId="BulletedList1">
    <w:name w:val="Bulleted List 1"/>
    <w:aliases w:val="bu1"/>
    <w:basedOn w:val="BodyText"/>
    <w:rsid w:val="003F3F95"/>
    <w:pPr>
      <w:widowControl/>
      <w:numPr>
        <w:numId w:val="1"/>
      </w:numPr>
      <w:suppressAutoHyphens w:val="0"/>
      <w:autoSpaceDE/>
      <w:autoSpaceDN/>
      <w:adjustRightInd/>
      <w:spacing w:line="240" w:lineRule="auto"/>
      <w:textAlignment w:val="auto"/>
    </w:pPr>
    <w:rPr>
      <w:rFonts w:ascii="Times New Roman" w:hAnsi="Times New Roman"/>
      <w:color w:val="auto"/>
      <w:lang w:val="en-CA" w:bidi="en-US"/>
    </w:rPr>
  </w:style>
  <w:style w:type="paragraph" w:customStyle="1" w:styleId="BulletedList2">
    <w:name w:val="Bulleted List 2"/>
    <w:aliases w:val="bu2"/>
    <w:basedOn w:val="BodyText"/>
    <w:rsid w:val="003F3F95"/>
    <w:pPr>
      <w:widowControl/>
      <w:numPr>
        <w:ilvl w:val="1"/>
        <w:numId w:val="1"/>
      </w:numPr>
      <w:suppressAutoHyphens w:val="0"/>
      <w:autoSpaceDE/>
      <w:autoSpaceDN/>
      <w:adjustRightInd/>
      <w:spacing w:line="240" w:lineRule="auto"/>
      <w:textAlignment w:val="auto"/>
    </w:pPr>
    <w:rPr>
      <w:rFonts w:ascii="Times New Roman" w:hAnsi="Times New Roman"/>
      <w:color w:val="auto"/>
      <w:lang w:val="en-CA" w:bidi="en-US"/>
    </w:rPr>
  </w:style>
  <w:style w:type="paragraph" w:customStyle="1" w:styleId="BulletedList3">
    <w:name w:val="Bulleted List 3"/>
    <w:aliases w:val="bu3"/>
    <w:basedOn w:val="BodyText"/>
    <w:rsid w:val="003F3F95"/>
    <w:pPr>
      <w:widowControl/>
      <w:numPr>
        <w:ilvl w:val="2"/>
        <w:numId w:val="1"/>
      </w:numPr>
      <w:suppressAutoHyphens w:val="0"/>
      <w:autoSpaceDE/>
      <w:autoSpaceDN/>
      <w:adjustRightInd/>
      <w:spacing w:line="240" w:lineRule="auto"/>
      <w:textAlignment w:val="auto"/>
    </w:pPr>
    <w:rPr>
      <w:rFonts w:ascii="Times New Roman" w:hAnsi="Times New Roman"/>
      <w:color w:val="auto"/>
      <w:lang w:val="en-CA" w:bidi="en-US"/>
    </w:rPr>
  </w:style>
  <w:style w:type="paragraph" w:customStyle="1" w:styleId="Indenthalfinch">
    <w:name w:val="Indent half inch"/>
    <w:aliases w:val="in"/>
    <w:basedOn w:val="BodyText"/>
    <w:rsid w:val="003F3F95"/>
    <w:pPr>
      <w:widowControl/>
      <w:suppressAutoHyphens w:val="0"/>
      <w:autoSpaceDE/>
      <w:autoSpaceDN/>
      <w:adjustRightInd/>
      <w:spacing w:line="240" w:lineRule="auto"/>
      <w:ind w:left="720"/>
      <w:textAlignment w:val="auto"/>
    </w:pPr>
    <w:rPr>
      <w:rFonts w:ascii="Times New Roman" w:hAnsi="Times New Roman"/>
      <w:color w:val="auto"/>
      <w:lang w:val="en-CA" w:bidi="en-US"/>
    </w:rPr>
  </w:style>
  <w:style w:type="paragraph" w:customStyle="1" w:styleId="lowercaseheading1">
    <w:name w:val="lowercase heading 1"/>
    <w:aliases w:val="lh1"/>
    <w:basedOn w:val="BodyText"/>
    <w:next w:val="BodyText"/>
    <w:rsid w:val="003F3F95"/>
    <w:pPr>
      <w:keepNext/>
      <w:widowControl/>
      <w:suppressAutoHyphens w:val="0"/>
      <w:autoSpaceDE/>
      <w:autoSpaceDN/>
      <w:adjustRightInd/>
      <w:spacing w:line="240" w:lineRule="auto"/>
      <w:textAlignment w:val="auto"/>
    </w:pPr>
    <w:rPr>
      <w:rFonts w:ascii="Times New Roman" w:hAnsi="Times New Roman"/>
      <w:b/>
      <w:bCs/>
      <w:color w:val="auto"/>
      <w:lang w:val="en-CA" w:bidi="en-US"/>
    </w:rPr>
  </w:style>
  <w:style w:type="paragraph" w:customStyle="1" w:styleId="BordenLevel1">
    <w:name w:val="Borden Level 1"/>
    <w:aliases w:val="b1"/>
    <w:basedOn w:val="BodyText"/>
    <w:rsid w:val="00BB5500"/>
    <w:pPr>
      <w:widowControl/>
      <w:numPr>
        <w:numId w:val="2"/>
      </w:numPr>
      <w:suppressAutoHyphens w:val="0"/>
      <w:autoSpaceDE/>
      <w:autoSpaceDN/>
      <w:adjustRightInd/>
      <w:spacing w:line="240" w:lineRule="auto"/>
      <w:jc w:val="left"/>
      <w:textAlignment w:val="auto"/>
    </w:pPr>
    <w:rPr>
      <w:rFonts w:ascii="Times New Roman" w:hAnsi="Times New Roman"/>
      <w:color w:val="auto"/>
      <w:sz w:val="22"/>
      <w:lang w:val="en-CA" w:bidi="en-US"/>
    </w:rPr>
  </w:style>
  <w:style w:type="paragraph" w:customStyle="1" w:styleId="BordenLevel2">
    <w:name w:val="Borden Level 2"/>
    <w:aliases w:val="b2"/>
    <w:basedOn w:val="BodyText"/>
    <w:rsid w:val="00BB5500"/>
    <w:pPr>
      <w:widowControl/>
      <w:numPr>
        <w:ilvl w:val="1"/>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3">
    <w:name w:val="Borden Level 3"/>
    <w:aliases w:val="b3"/>
    <w:basedOn w:val="BodyText"/>
    <w:rsid w:val="00BB5500"/>
    <w:pPr>
      <w:widowControl/>
      <w:numPr>
        <w:ilvl w:val="2"/>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4">
    <w:name w:val="Borden Level 4"/>
    <w:aliases w:val="b4"/>
    <w:basedOn w:val="BodyText"/>
    <w:rsid w:val="00BB5500"/>
    <w:pPr>
      <w:widowControl/>
      <w:numPr>
        <w:ilvl w:val="3"/>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5">
    <w:name w:val="Borden Level 5"/>
    <w:aliases w:val="b5"/>
    <w:basedOn w:val="BodyText"/>
    <w:rsid w:val="00BB5500"/>
    <w:pPr>
      <w:widowControl/>
      <w:numPr>
        <w:ilvl w:val="4"/>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6">
    <w:name w:val="Borden Level 6"/>
    <w:aliases w:val="b6"/>
    <w:basedOn w:val="BodyText"/>
    <w:rsid w:val="00BB5500"/>
    <w:pPr>
      <w:widowControl/>
      <w:numPr>
        <w:ilvl w:val="5"/>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7">
    <w:name w:val="Borden Level 7"/>
    <w:aliases w:val="b7"/>
    <w:basedOn w:val="BodyText"/>
    <w:rsid w:val="00BB5500"/>
    <w:pPr>
      <w:widowControl/>
      <w:numPr>
        <w:ilvl w:val="6"/>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8">
    <w:name w:val="Borden Level 8"/>
    <w:aliases w:val="b8"/>
    <w:basedOn w:val="BodyText"/>
    <w:rsid w:val="00BB5500"/>
    <w:pPr>
      <w:widowControl/>
      <w:numPr>
        <w:ilvl w:val="7"/>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9">
    <w:name w:val="Borden Level 9"/>
    <w:aliases w:val="b9"/>
    <w:basedOn w:val="BodyText"/>
    <w:rsid w:val="00BB5500"/>
    <w:pPr>
      <w:widowControl/>
      <w:numPr>
        <w:ilvl w:val="8"/>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character" w:customStyle="1" w:styleId="Arial11">
    <w:name w:val="Arial 11"/>
    <w:aliases w:val="a11"/>
    <w:rsid w:val="00BB5500"/>
    <w:rPr>
      <w:rFonts w:ascii="Arial" w:hAnsi="Arial"/>
      <w:sz w:val="22"/>
    </w:rPr>
  </w:style>
  <w:style w:type="character" w:styleId="Emphasis">
    <w:name w:val="Emphasis"/>
    <w:basedOn w:val="DefaultParagraphFont"/>
    <w:qFormat/>
    <w:rsid w:val="00C3484D"/>
    <w:rPr>
      <w:rFonts w:cs="Times New Roman"/>
      <w:i/>
      <w:iCs/>
    </w:rPr>
  </w:style>
  <w:style w:type="paragraph" w:customStyle="1" w:styleId="BulletZero">
    <w:name w:val="Bullet Zero"/>
    <w:basedOn w:val="Normal"/>
    <w:link w:val="BulletZeroChar"/>
    <w:qFormat/>
    <w:rsid w:val="00546FB7"/>
    <w:pPr>
      <w:numPr>
        <w:numId w:val="8"/>
      </w:numPr>
      <w:spacing w:after="240" w:line="360" w:lineRule="auto"/>
    </w:pPr>
    <w:rPr>
      <w:rFonts w:ascii="Verdana" w:eastAsia="Calibri" w:hAnsi="Verdana" w:cs="Arial"/>
      <w:sz w:val="19"/>
      <w:szCs w:val="22"/>
      <w:lang w:val="en-CA"/>
    </w:rPr>
  </w:style>
  <w:style w:type="character" w:customStyle="1" w:styleId="BulletZeroChar">
    <w:name w:val="Bullet Zero Char"/>
    <w:link w:val="BulletZero"/>
    <w:rsid w:val="00546FB7"/>
    <w:rPr>
      <w:rFonts w:ascii="Verdana" w:eastAsia="Calibri" w:hAnsi="Verdana" w:cs="Arial"/>
      <w:sz w:val="19"/>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mmunication" ma:contentTypeID="0x0101001DF1D626BCB18941BE7337C2604A6E820101001835654754BDBE4097D8D41E08565743" ma:contentTypeVersion="14" ma:contentTypeDescription="" ma:contentTypeScope="" ma:versionID="66354edc841b65ba3a450c177a80742e">
  <xsd:schema xmlns:xsd="http://www.w3.org/2001/XMLSchema" xmlns:xs="http://www.w3.org/2001/XMLSchema" xmlns:p="http://schemas.microsoft.com/office/2006/metadata/properties" xmlns:ns2="92602c1c-55ab-498a-b8a5-0caa852e9217" xmlns:ns3="7254da72-6f31-474f-b355-cdc633a7ebd8" targetNamespace="http://schemas.microsoft.com/office/2006/metadata/properties" ma:root="true" ma:fieldsID="7b886c863399e501e987316b66ab079a" ns2:_="" ns3:_="">
    <xsd:import namespace="92602c1c-55ab-498a-b8a5-0caa852e9217"/>
    <xsd:import namespace="7254da72-6f31-474f-b355-cdc633a7ebd8"/>
    <xsd:element name="properties">
      <xsd:complexType>
        <xsd:sequence>
          <xsd:element name="documentManagement">
            <xsd:complexType>
              <xsd:all>
                <xsd:element ref="ns2:Publish_x0020_Date"/>
                <xsd:element ref="ns2:Access_x0020_Only_x0020_For" minOccurs="0"/>
                <xsd:element ref="ns2:ndae2820bbcb4bd994cb3d0264a99808" minOccurs="0"/>
                <xsd:element ref="ns2:TaxCatchAll" minOccurs="0"/>
                <xsd:element ref="ns2:TaxCatchAllLabel" minOccurs="0"/>
                <xsd:element ref="ns3:Section" minOccurs="0"/>
                <xsd:element ref="ns3:Year"/>
                <xsd:element ref="ns3: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02c1c-55ab-498a-b8a5-0caa852e9217" elementFormDefault="qualified">
    <xsd:import namespace="http://schemas.microsoft.com/office/2006/documentManagement/types"/>
    <xsd:import namespace="http://schemas.microsoft.com/office/infopath/2007/PartnerControls"/>
    <xsd:element name="Publish_x0020_Date" ma:index="2" ma:displayName="Publish Date" ma:default="[today]" ma:format="DateOnly" ma:internalName="Publish_x0020_Date" ma:readOnly="false">
      <xsd:simpleType>
        <xsd:restriction base="dms:DateTime"/>
      </xsd:simpleType>
    </xsd:element>
    <xsd:element name="Access_x0020_Only_x0020_For" ma:index="4" nillable="true" ma:displayName="Access Only For" ma:list="UserInfo" ma:SearchPeopleOnly="false" ma:SharePointGroup="0" ma:internalName="Access_x0020_Only_x0020_F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dae2820bbcb4bd994cb3d0264a99808" ma:index="9" nillable="true" ma:taxonomy="true" ma:internalName="ndae2820bbcb4bd994cb3d0264a99808" ma:taxonomyFieldName="Tags" ma:displayName="Tags" ma:default="" ma:fieldId="{7dae2820-bbcb-4bd9-94cb-3d0264a99808}" ma:taxonomyMulti="true" ma:sspId="de71f9fb-d6aa-4ee2-a8d0-54c753b613e8" ma:termSetId="a9c54327-5211-4a5b-a8f7-155e86d18b5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ed47aef-74b5-4575-a37b-d22ca7558b49}" ma:internalName="TaxCatchAll" ma:showField="CatchAllData" ma:web="92602c1c-55ab-498a-b8a5-0caa852e921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ed47aef-74b5-4575-a37b-d22ca7558b49}" ma:internalName="TaxCatchAllLabel" ma:readOnly="true" ma:showField="CatchAllDataLabel" ma:web="92602c1c-55ab-498a-b8a5-0caa852e92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54da72-6f31-474f-b355-cdc633a7ebd8" elementFormDefault="qualified">
    <xsd:import namespace="http://schemas.microsoft.com/office/2006/documentManagement/types"/>
    <xsd:import namespace="http://schemas.microsoft.com/office/infopath/2007/PartnerControls"/>
    <xsd:element name="Section" ma:index="14" nillable="true" ma:displayName="Section" ma:default="Bulletin" ma:format="Dropdown" ma:indexed="true" ma:internalName="Section">
      <xsd:simpleType>
        <xsd:restriction base="dms:Choice">
          <xsd:enumeration value="Bulletin"/>
          <xsd:enumeration value="Media Release"/>
          <xsd:enumeration value="Document"/>
          <xsd:enumeration value="Chair's Reports"/>
          <xsd:enumeration value="OHA Submissions"/>
          <xsd:enumeration value="OHA Advocacy"/>
        </xsd:restriction>
      </xsd:simpleType>
    </xsd:element>
    <xsd:element name="Year" ma:index="15" ma:displayName="Year" ma:default="2024" ma:format="Dropdown" ma:internalName="Year">
      <xsd:simpleType>
        <xsd:restriction base="dms:Choice">
          <xsd:enumeration value="2025"/>
          <xsd:enumeration value="2024"/>
          <xsd:enumeration value="2023"/>
          <xsd:enumeration value="2022"/>
        </xsd:restriction>
      </xsd:simpleType>
    </xsd:element>
    <xsd:element name="Month" ma:index="16" ma:displayName="Month" ma:default="January"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602c1c-55ab-498a-b8a5-0caa852e9217"/>
    <Month xmlns="7254da72-6f31-474f-b355-cdc633a7ebd8">January</Month>
    <ndae2820bbcb4bd994cb3d0264a99808 xmlns="92602c1c-55ab-498a-b8a5-0caa852e9217">
      <Terms xmlns="http://schemas.microsoft.com/office/infopath/2007/PartnerControls"/>
    </ndae2820bbcb4bd994cb3d0264a99808>
    <Publish_x0020_Date xmlns="92602c1c-55ab-498a-b8a5-0caa852e9217">2025-04-16T21:32:50+00:00</Publish_x0020_Date>
    <Access_x0020_Only_x0020_For xmlns="92602c1c-55ab-498a-b8a5-0caa852e9217">
      <UserInfo>
        <DisplayName/>
        <AccountId xsi:nil="true"/>
        <AccountType/>
      </UserInfo>
    </Access_x0020_Only_x0020_For>
    <Year xmlns="7254da72-6f31-474f-b355-cdc633a7ebd8">2024</Year>
    <Section xmlns="7254da72-6f31-474f-b355-cdc633a7ebd8">Bulletin</Section>
  </documentManagement>
</p:properties>
</file>

<file path=customXml/itemProps1.xml><?xml version="1.0" encoding="utf-8"?>
<ds:datastoreItem xmlns:ds="http://schemas.openxmlformats.org/officeDocument/2006/customXml" ds:itemID="{A7AABC84-9072-4948-899D-6CCD3284DBD0}"/>
</file>

<file path=customXml/itemProps2.xml><?xml version="1.0" encoding="utf-8"?>
<ds:datastoreItem xmlns:ds="http://schemas.openxmlformats.org/officeDocument/2006/customXml" ds:itemID="{DCE90199-F7BF-4A67-9611-E909F577B4B6}"/>
</file>

<file path=customXml/itemProps3.xml><?xml version="1.0" encoding="utf-8"?>
<ds:datastoreItem xmlns:ds="http://schemas.openxmlformats.org/officeDocument/2006/customXml" ds:itemID="{96AA7248-C6FF-4AE5-A9FF-6823F7789074}"/>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Note to Reader</vt:lpstr>
    </vt:vector>
  </TitlesOfParts>
  <Company>Graphicworks Inc.</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Reader</dc:title>
  <dc:subject/>
  <dc:creator>Cara   Lampkin</dc:creator>
  <cp:keywords/>
  <cp:lastModifiedBy>Bruce Johnston</cp:lastModifiedBy>
  <cp:revision>4</cp:revision>
  <cp:lastPrinted>2015-06-10T16:07:00Z</cp:lastPrinted>
  <dcterms:created xsi:type="dcterms:W3CDTF">2025-03-24T19:57:00Z</dcterms:created>
  <dcterms:modified xsi:type="dcterms:W3CDTF">2025-03-24T21:52:00Z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0x0101001DF1D626BCB18941BE7337C2604A6E820101001835654754BDBE4097D8D41E08565743</vt:lpwstr>
  </property>
</Properties>
</file>